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D53" w:rsidRDefault="0098666E">
      <w:pPr>
        <w:spacing w:after="156"/>
        <w:ind w:firstLine="720"/>
        <w:jc w:val="center"/>
        <w:textAlignment w:val="baseline"/>
        <w:rPr>
          <w:rFonts w:eastAsia="黑体"/>
          <w:sz w:val="36"/>
          <w:szCs w:val="36"/>
        </w:rPr>
      </w:pPr>
      <w:r>
        <w:rPr>
          <w:rFonts w:eastAsia="黑体"/>
          <w:sz w:val="36"/>
          <w:szCs w:val="36"/>
        </w:rPr>
        <w:fldChar w:fldCharType="begin"/>
      </w:r>
      <w:r>
        <w:rPr>
          <w:rFonts w:eastAsia="黑体"/>
          <w:sz w:val="36"/>
          <w:szCs w:val="36"/>
        </w:rPr>
        <w:instrText>ADDIN CNKISM.UserStyle</w:instrText>
      </w:r>
      <w:r>
        <w:rPr>
          <w:rFonts w:eastAsia="黑体"/>
          <w:sz w:val="36"/>
          <w:szCs w:val="36"/>
        </w:rPr>
        <w:fldChar w:fldCharType="end"/>
      </w:r>
    </w:p>
    <w:p w:rsidR="008E7D53" w:rsidRDefault="008E7D53">
      <w:pPr>
        <w:spacing w:after="156"/>
        <w:ind w:firstLine="720"/>
        <w:jc w:val="center"/>
        <w:textAlignment w:val="baseline"/>
        <w:rPr>
          <w:rFonts w:eastAsia="黑体"/>
          <w:sz w:val="36"/>
          <w:szCs w:val="36"/>
        </w:rPr>
      </w:pPr>
    </w:p>
    <w:p w:rsidR="008E7D53" w:rsidRDefault="008E7D53">
      <w:pPr>
        <w:spacing w:after="156"/>
        <w:ind w:firstLine="720"/>
        <w:jc w:val="center"/>
        <w:textAlignment w:val="baseline"/>
        <w:rPr>
          <w:rFonts w:eastAsia="黑体"/>
          <w:sz w:val="36"/>
          <w:szCs w:val="36"/>
        </w:rPr>
      </w:pPr>
    </w:p>
    <w:p w:rsidR="008E7D53" w:rsidRDefault="0098666E">
      <w:pPr>
        <w:spacing w:after="156"/>
        <w:ind w:firstLineChars="0" w:firstLine="0"/>
        <w:jc w:val="center"/>
        <w:textAlignment w:val="baseline"/>
        <w:rPr>
          <w:rFonts w:eastAsia="黑体"/>
          <w:sz w:val="44"/>
          <w:szCs w:val="52"/>
        </w:rPr>
      </w:pPr>
      <w:r>
        <w:rPr>
          <w:rFonts w:eastAsia="黑体" w:hint="eastAsia"/>
          <w:sz w:val="44"/>
          <w:szCs w:val="52"/>
        </w:rPr>
        <w:t>《污水生物处理系统能效评价方法》</w:t>
      </w:r>
    </w:p>
    <w:p w:rsidR="008E7D53" w:rsidRDefault="0098666E">
      <w:pPr>
        <w:spacing w:after="156"/>
        <w:ind w:firstLineChars="45" w:firstLine="198"/>
        <w:jc w:val="center"/>
        <w:textAlignment w:val="baseline"/>
        <w:rPr>
          <w:rFonts w:eastAsia="黑体"/>
          <w:sz w:val="44"/>
          <w:szCs w:val="44"/>
        </w:rPr>
      </w:pPr>
      <w:r>
        <w:rPr>
          <w:rFonts w:eastAsia="黑体" w:hint="eastAsia"/>
          <w:sz w:val="44"/>
          <w:szCs w:val="44"/>
        </w:rPr>
        <w:t>（征求意见稿）</w:t>
      </w:r>
    </w:p>
    <w:p w:rsidR="008E7D53" w:rsidRDefault="008E7D53">
      <w:pPr>
        <w:spacing w:after="156"/>
        <w:ind w:firstLine="880"/>
        <w:jc w:val="center"/>
        <w:textAlignment w:val="baseline"/>
        <w:rPr>
          <w:rFonts w:eastAsia="黑体"/>
          <w:sz w:val="44"/>
          <w:szCs w:val="44"/>
        </w:rPr>
      </w:pPr>
    </w:p>
    <w:p w:rsidR="008E7D53" w:rsidRDefault="0098666E">
      <w:pPr>
        <w:spacing w:after="156"/>
        <w:ind w:firstLineChars="41" w:firstLine="180"/>
        <w:jc w:val="center"/>
        <w:textAlignment w:val="baseline"/>
        <w:rPr>
          <w:rFonts w:eastAsia="黑体"/>
          <w:sz w:val="28"/>
          <w:szCs w:val="32"/>
        </w:rPr>
      </w:pPr>
      <w:r>
        <w:rPr>
          <w:rFonts w:eastAsia="黑体" w:hint="eastAsia"/>
          <w:sz w:val="44"/>
          <w:szCs w:val="48"/>
        </w:rPr>
        <w:t>编</w:t>
      </w:r>
      <w:r>
        <w:rPr>
          <w:rFonts w:eastAsia="黑体"/>
          <w:sz w:val="44"/>
          <w:szCs w:val="48"/>
        </w:rPr>
        <w:t xml:space="preserve"> </w:t>
      </w:r>
      <w:r>
        <w:rPr>
          <w:rFonts w:eastAsia="黑体" w:hint="eastAsia"/>
          <w:sz w:val="44"/>
          <w:szCs w:val="48"/>
        </w:rPr>
        <w:t>制</w:t>
      </w:r>
      <w:r>
        <w:rPr>
          <w:rFonts w:eastAsia="黑体"/>
          <w:sz w:val="44"/>
          <w:szCs w:val="48"/>
        </w:rPr>
        <w:t xml:space="preserve"> </w:t>
      </w:r>
      <w:r>
        <w:rPr>
          <w:rFonts w:eastAsia="黑体" w:hint="eastAsia"/>
          <w:sz w:val="44"/>
          <w:szCs w:val="48"/>
        </w:rPr>
        <w:t>说</w:t>
      </w:r>
      <w:r>
        <w:rPr>
          <w:rFonts w:eastAsia="黑体"/>
          <w:sz w:val="44"/>
          <w:szCs w:val="48"/>
        </w:rPr>
        <w:t xml:space="preserve"> </w:t>
      </w:r>
      <w:r>
        <w:rPr>
          <w:rFonts w:eastAsia="黑体" w:hint="eastAsia"/>
          <w:sz w:val="44"/>
          <w:szCs w:val="48"/>
        </w:rPr>
        <w:t>明</w:t>
      </w:r>
    </w:p>
    <w:p w:rsidR="008E7D53" w:rsidRDefault="008E7D53">
      <w:pPr>
        <w:spacing w:after="156"/>
        <w:ind w:firstLine="640"/>
        <w:jc w:val="center"/>
        <w:textAlignment w:val="baseline"/>
        <w:rPr>
          <w:rFonts w:eastAsia="黑体"/>
          <w:sz w:val="32"/>
          <w:szCs w:val="32"/>
        </w:rPr>
      </w:pPr>
    </w:p>
    <w:p w:rsidR="008E7D53" w:rsidRDefault="008E7D53">
      <w:pPr>
        <w:spacing w:after="156"/>
        <w:ind w:firstLine="720"/>
        <w:jc w:val="center"/>
        <w:textAlignment w:val="baseline"/>
        <w:rPr>
          <w:rFonts w:eastAsia="黑体"/>
          <w:sz w:val="36"/>
          <w:szCs w:val="36"/>
        </w:rPr>
      </w:pPr>
    </w:p>
    <w:p w:rsidR="008E7D53" w:rsidRDefault="008E7D53">
      <w:pPr>
        <w:spacing w:after="156"/>
        <w:ind w:firstLine="720"/>
        <w:jc w:val="center"/>
        <w:textAlignment w:val="baseline"/>
        <w:rPr>
          <w:rFonts w:eastAsia="黑体"/>
          <w:sz w:val="36"/>
          <w:szCs w:val="36"/>
        </w:rPr>
      </w:pPr>
    </w:p>
    <w:p w:rsidR="008E7D53" w:rsidRDefault="008E7D53">
      <w:pPr>
        <w:spacing w:after="156"/>
        <w:ind w:firstLine="720"/>
        <w:jc w:val="center"/>
        <w:textAlignment w:val="baseline"/>
        <w:rPr>
          <w:rFonts w:eastAsia="黑体"/>
          <w:sz w:val="36"/>
          <w:szCs w:val="36"/>
        </w:rPr>
      </w:pPr>
    </w:p>
    <w:p w:rsidR="008E7D53" w:rsidRDefault="008E7D53">
      <w:pPr>
        <w:spacing w:after="156"/>
        <w:ind w:firstLineChars="0" w:firstLine="0"/>
        <w:textAlignment w:val="baseline"/>
        <w:rPr>
          <w:rFonts w:eastAsia="黑体"/>
          <w:sz w:val="36"/>
          <w:szCs w:val="36"/>
        </w:rPr>
      </w:pPr>
    </w:p>
    <w:p w:rsidR="008E7D53" w:rsidRDefault="008E7D53">
      <w:pPr>
        <w:ind w:firstLineChars="0" w:firstLine="0"/>
        <w:jc w:val="center"/>
        <w:textAlignment w:val="baseline"/>
        <w:rPr>
          <w:rFonts w:eastAsia="黑体"/>
          <w:sz w:val="30"/>
          <w:szCs w:val="30"/>
        </w:rPr>
      </w:pPr>
    </w:p>
    <w:p w:rsidR="008E7D53" w:rsidRDefault="008E7D53">
      <w:pPr>
        <w:ind w:firstLineChars="0" w:firstLine="0"/>
        <w:jc w:val="center"/>
        <w:textAlignment w:val="baseline"/>
        <w:rPr>
          <w:rFonts w:eastAsia="黑体"/>
          <w:sz w:val="30"/>
          <w:szCs w:val="30"/>
        </w:rPr>
      </w:pPr>
    </w:p>
    <w:p w:rsidR="008E7D53" w:rsidRDefault="008E7D53">
      <w:pPr>
        <w:ind w:firstLineChars="0" w:firstLine="0"/>
        <w:jc w:val="center"/>
        <w:textAlignment w:val="baseline"/>
        <w:rPr>
          <w:rFonts w:eastAsia="黑体"/>
          <w:sz w:val="30"/>
          <w:szCs w:val="30"/>
        </w:rPr>
      </w:pPr>
    </w:p>
    <w:p w:rsidR="008E7D53" w:rsidRDefault="0098666E">
      <w:pPr>
        <w:ind w:firstLineChars="0" w:firstLine="0"/>
        <w:jc w:val="center"/>
        <w:textAlignment w:val="baseline"/>
        <w:rPr>
          <w:rFonts w:eastAsia="黑体"/>
          <w:sz w:val="30"/>
          <w:szCs w:val="30"/>
        </w:rPr>
      </w:pPr>
      <w:r>
        <w:rPr>
          <w:rFonts w:eastAsia="黑体"/>
          <w:sz w:val="30"/>
          <w:szCs w:val="30"/>
        </w:rPr>
        <w:t>《</w:t>
      </w:r>
      <w:r>
        <w:rPr>
          <w:rFonts w:eastAsia="黑体" w:hint="eastAsia"/>
          <w:sz w:val="30"/>
          <w:szCs w:val="30"/>
        </w:rPr>
        <w:t>污水生物处理系统能效评价方法</w:t>
      </w:r>
      <w:r>
        <w:rPr>
          <w:rFonts w:eastAsia="黑体"/>
          <w:sz w:val="30"/>
          <w:szCs w:val="30"/>
        </w:rPr>
        <w:t>》编制组</w:t>
      </w:r>
    </w:p>
    <w:p w:rsidR="008E7D53" w:rsidRDefault="0098666E">
      <w:pPr>
        <w:ind w:firstLineChars="0" w:firstLine="0"/>
        <w:jc w:val="center"/>
        <w:textAlignment w:val="baseline"/>
        <w:rPr>
          <w:rFonts w:eastAsia="黑体"/>
          <w:sz w:val="30"/>
          <w:szCs w:val="30"/>
        </w:rPr>
      </w:pPr>
      <w:bookmarkStart w:id="0" w:name="_Toc236740316"/>
      <w:bookmarkStart w:id="1" w:name="_Toc236714085"/>
      <w:bookmarkStart w:id="2" w:name="_Toc236797967"/>
      <w:bookmarkStart w:id="3" w:name="_Toc236740500"/>
      <w:bookmarkStart w:id="4" w:name="_Toc236806816"/>
      <w:bookmarkStart w:id="5" w:name="_Toc236798132"/>
      <w:r>
        <w:rPr>
          <w:rFonts w:eastAsia="黑体"/>
          <w:sz w:val="30"/>
          <w:szCs w:val="30"/>
        </w:rPr>
        <w:t>二〇二</w:t>
      </w:r>
      <w:r>
        <w:rPr>
          <w:rFonts w:eastAsia="黑体" w:hint="eastAsia"/>
          <w:sz w:val="30"/>
          <w:szCs w:val="30"/>
        </w:rPr>
        <w:t>一</w:t>
      </w:r>
      <w:r>
        <w:rPr>
          <w:rFonts w:eastAsia="黑体"/>
          <w:sz w:val="30"/>
          <w:szCs w:val="30"/>
        </w:rPr>
        <w:t>年</w:t>
      </w:r>
      <w:r>
        <w:rPr>
          <w:rFonts w:eastAsia="黑体" w:hint="eastAsia"/>
          <w:sz w:val="30"/>
          <w:szCs w:val="30"/>
        </w:rPr>
        <w:t>十一</w:t>
      </w:r>
      <w:r>
        <w:rPr>
          <w:rFonts w:eastAsia="黑体"/>
          <w:sz w:val="30"/>
          <w:szCs w:val="30"/>
        </w:rPr>
        <w:t>月</w:t>
      </w:r>
      <w:bookmarkEnd w:id="0"/>
      <w:bookmarkEnd w:id="1"/>
      <w:bookmarkEnd w:id="2"/>
      <w:bookmarkEnd w:id="3"/>
      <w:bookmarkEnd w:id="4"/>
      <w:bookmarkEnd w:id="5"/>
    </w:p>
    <w:p w:rsidR="008E7D53" w:rsidRDefault="008E7D53">
      <w:pPr>
        <w:pStyle w:val="ab"/>
        <w:spacing w:after="156"/>
        <w:textAlignment w:val="baseline"/>
        <w:rPr>
          <w:rFonts w:ascii="Times New Roman" w:eastAsia="黑体" w:hAnsi="Times New Roman"/>
        </w:rPr>
        <w:sectPr w:rsidR="008E7D53">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797" w:bottom="1985" w:left="1797" w:header="851" w:footer="1418" w:gutter="0"/>
          <w:cols w:space="720"/>
          <w:titlePg/>
          <w:docGrid w:type="lines" w:linePitch="312"/>
        </w:sectPr>
      </w:pPr>
    </w:p>
    <w:p w:rsidR="008E7D53" w:rsidRDefault="0098666E">
      <w:pPr>
        <w:pStyle w:val="TOC10"/>
        <w:spacing w:after="156"/>
        <w:jc w:val="center"/>
        <w:textAlignment w:val="baseline"/>
        <w:rPr>
          <w:rFonts w:ascii="Times New Roman" w:eastAsia="黑体" w:hAnsi="Times New Roman"/>
          <w:b w:val="0"/>
          <w:color w:val="000000"/>
          <w:sz w:val="36"/>
        </w:rPr>
      </w:pPr>
      <w:bookmarkStart w:id="6" w:name="_Toc236806818"/>
      <w:bookmarkStart w:id="7" w:name="_Toc198631169"/>
      <w:r>
        <w:rPr>
          <w:rFonts w:ascii="Times New Roman" w:eastAsia="黑体" w:hAnsi="Times New Roman"/>
          <w:b w:val="0"/>
          <w:color w:val="000000"/>
          <w:sz w:val="36"/>
          <w:lang w:val="zh-CN"/>
        </w:rPr>
        <w:lastRenderedPageBreak/>
        <w:t>目</w:t>
      </w:r>
      <w:r>
        <w:rPr>
          <w:rFonts w:ascii="Times New Roman" w:eastAsia="黑体" w:hAnsi="Times New Roman"/>
          <w:b w:val="0"/>
          <w:color w:val="000000"/>
          <w:sz w:val="36"/>
          <w:lang w:val="zh-CN"/>
        </w:rPr>
        <w:t xml:space="preserve">  </w:t>
      </w:r>
      <w:r>
        <w:rPr>
          <w:rFonts w:ascii="Times New Roman" w:eastAsia="黑体" w:hAnsi="Times New Roman"/>
          <w:b w:val="0"/>
          <w:color w:val="000000"/>
          <w:sz w:val="36"/>
          <w:lang w:val="zh-CN"/>
        </w:rPr>
        <w:t>录</w:t>
      </w:r>
    </w:p>
    <w:p w:rsidR="003E0330" w:rsidRDefault="0098666E">
      <w:pPr>
        <w:pStyle w:val="TOC1"/>
        <w:tabs>
          <w:tab w:val="right" w:leader="dot" w:pos="8296"/>
        </w:tabs>
        <w:ind w:firstLine="400"/>
        <w:rPr>
          <w:rFonts w:asciiTheme="minorHAnsi" w:eastAsiaTheme="minorEastAsia" w:hAnsiTheme="minorHAnsi" w:cstheme="minorBidi"/>
          <w:noProof/>
          <w:sz w:val="21"/>
        </w:rPr>
      </w:pPr>
      <w:r>
        <w:rPr>
          <w:sz w:val="20"/>
          <w:szCs w:val="24"/>
        </w:rPr>
        <w:fldChar w:fldCharType="begin"/>
      </w:r>
      <w:r>
        <w:rPr>
          <w:sz w:val="20"/>
          <w:szCs w:val="24"/>
        </w:rPr>
        <w:instrText xml:space="preserve"> TOC \o "1-3" \h \z \u </w:instrText>
      </w:r>
      <w:r>
        <w:rPr>
          <w:sz w:val="20"/>
          <w:szCs w:val="24"/>
        </w:rPr>
        <w:fldChar w:fldCharType="separate"/>
      </w:r>
      <w:hyperlink w:anchor="_Toc89240935" w:history="1">
        <w:r w:rsidR="003E0330" w:rsidRPr="0087023F">
          <w:rPr>
            <w:rStyle w:val="affa"/>
            <w:noProof/>
          </w:rPr>
          <w:t xml:space="preserve">1 </w:t>
        </w:r>
        <w:r w:rsidR="003E0330" w:rsidRPr="0087023F">
          <w:rPr>
            <w:rStyle w:val="affa"/>
            <w:noProof/>
          </w:rPr>
          <w:t>目的意义</w:t>
        </w:r>
        <w:r w:rsidR="003E0330">
          <w:rPr>
            <w:noProof/>
            <w:webHidden/>
          </w:rPr>
          <w:tab/>
        </w:r>
        <w:r w:rsidR="003E0330">
          <w:rPr>
            <w:noProof/>
            <w:webHidden/>
          </w:rPr>
          <w:fldChar w:fldCharType="begin"/>
        </w:r>
        <w:r w:rsidR="003E0330">
          <w:rPr>
            <w:noProof/>
            <w:webHidden/>
          </w:rPr>
          <w:instrText xml:space="preserve"> PAGEREF _Toc89240935 \h </w:instrText>
        </w:r>
        <w:r w:rsidR="003E0330">
          <w:rPr>
            <w:noProof/>
            <w:webHidden/>
          </w:rPr>
        </w:r>
        <w:r w:rsidR="003E0330">
          <w:rPr>
            <w:noProof/>
            <w:webHidden/>
          </w:rPr>
          <w:fldChar w:fldCharType="separate"/>
        </w:r>
        <w:r w:rsidR="003E0330">
          <w:rPr>
            <w:noProof/>
            <w:webHidden/>
          </w:rPr>
          <w:t>2</w:t>
        </w:r>
        <w:r w:rsidR="003E0330">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36" w:history="1">
        <w:r w:rsidRPr="0087023F">
          <w:rPr>
            <w:rStyle w:val="affa"/>
            <w:noProof/>
          </w:rPr>
          <w:t xml:space="preserve">1.1 </w:t>
        </w:r>
        <w:r w:rsidRPr="0087023F">
          <w:rPr>
            <w:rStyle w:val="affa"/>
            <w:noProof/>
          </w:rPr>
          <w:t>产业现状及标准编制的意义</w:t>
        </w:r>
        <w:r>
          <w:rPr>
            <w:noProof/>
            <w:webHidden/>
          </w:rPr>
          <w:tab/>
        </w:r>
        <w:r>
          <w:rPr>
            <w:noProof/>
            <w:webHidden/>
          </w:rPr>
          <w:fldChar w:fldCharType="begin"/>
        </w:r>
        <w:r>
          <w:rPr>
            <w:noProof/>
            <w:webHidden/>
          </w:rPr>
          <w:instrText xml:space="preserve"> PAGEREF _Toc89240936 \h </w:instrText>
        </w:r>
        <w:r>
          <w:rPr>
            <w:noProof/>
            <w:webHidden/>
          </w:rPr>
        </w:r>
        <w:r>
          <w:rPr>
            <w:noProof/>
            <w:webHidden/>
          </w:rPr>
          <w:fldChar w:fldCharType="separate"/>
        </w:r>
        <w:r>
          <w:rPr>
            <w:noProof/>
            <w:webHidden/>
          </w:rPr>
          <w:t>2</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37" w:history="1">
        <w:r w:rsidRPr="0087023F">
          <w:rPr>
            <w:rStyle w:val="affa"/>
            <w:noProof/>
          </w:rPr>
          <w:t xml:space="preserve">1.2 </w:t>
        </w:r>
        <w:r w:rsidRPr="0087023F">
          <w:rPr>
            <w:rStyle w:val="affa"/>
            <w:noProof/>
          </w:rPr>
          <w:t>标准编制的必要性</w:t>
        </w:r>
        <w:r>
          <w:rPr>
            <w:noProof/>
            <w:webHidden/>
          </w:rPr>
          <w:tab/>
        </w:r>
        <w:r>
          <w:rPr>
            <w:noProof/>
            <w:webHidden/>
          </w:rPr>
          <w:fldChar w:fldCharType="begin"/>
        </w:r>
        <w:r>
          <w:rPr>
            <w:noProof/>
            <w:webHidden/>
          </w:rPr>
          <w:instrText xml:space="preserve"> PAGEREF _Toc89240937 \h </w:instrText>
        </w:r>
        <w:r>
          <w:rPr>
            <w:noProof/>
            <w:webHidden/>
          </w:rPr>
        </w:r>
        <w:r>
          <w:rPr>
            <w:noProof/>
            <w:webHidden/>
          </w:rPr>
          <w:fldChar w:fldCharType="separate"/>
        </w:r>
        <w:r>
          <w:rPr>
            <w:noProof/>
            <w:webHidden/>
          </w:rPr>
          <w:t>3</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38" w:history="1">
        <w:r w:rsidRPr="0087023F">
          <w:rPr>
            <w:rStyle w:val="affa"/>
            <w:noProof/>
          </w:rPr>
          <w:t xml:space="preserve">1.3 </w:t>
        </w:r>
        <w:r w:rsidRPr="0087023F">
          <w:rPr>
            <w:rStyle w:val="affa"/>
            <w:noProof/>
          </w:rPr>
          <w:t>标准实施的经济效益</w:t>
        </w:r>
        <w:r>
          <w:rPr>
            <w:noProof/>
            <w:webHidden/>
          </w:rPr>
          <w:tab/>
        </w:r>
        <w:r>
          <w:rPr>
            <w:noProof/>
            <w:webHidden/>
          </w:rPr>
          <w:fldChar w:fldCharType="begin"/>
        </w:r>
        <w:r>
          <w:rPr>
            <w:noProof/>
            <w:webHidden/>
          </w:rPr>
          <w:instrText xml:space="preserve"> PAGEREF _Toc89240938 \h </w:instrText>
        </w:r>
        <w:r>
          <w:rPr>
            <w:noProof/>
            <w:webHidden/>
          </w:rPr>
        </w:r>
        <w:r>
          <w:rPr>
            <w:noProof/>
            <w:webHidden/>
          </w:rPr>
          <w:fldChar w:fldCharType="separate"/>
        </w:r>
        <w:r>
          <w:rPr>
            <w:noProof/>
            <w:webHidden/>
          </w:rPr>
          <w:t>4</w:t>
        </w:r>
        <w:r>
          <w:rPr>
            <w:noProof/>
            <w:webHidden/>
          </w:rPr>
          <w:fldChar w:fldCharType="end"/>
        </w:r>
      </w:hyperlink>
    </w:p>
    <w:p w:rsidR="003E0330" w:rsidRDefault="003E0330">
      <w:pPr>
        <w:pStyle w:val="TOC1"/>
        <w:tabs>
          <w:tab w:val="right" w:leader="dot" w:pos="8296"/>
        </w:tabs>
        <w:ind w:firstLine="480"/>
        <w:rPr>
          <w:rFonts w:asciiTheme="minorHAnsi" w:eastAsiaTheme="minorEastAsia" w:hAnsiTheme="minorHAnsi" w:cstheme="minorBidi"/>
          <w:noProof/>
          <w:sz w:val="21"/>
        </w:rPr>
      </w:pPr>
      <w:hyperlink w:anchor="_Toc89240939" w:history="1">
        <w:r w:rsidRPr="0087023F">
          <w:rPr>
            <w:rStyle w:val="affa"/>
            <w:noProof/>
          </w:rPr>
          <w:t xml:space="preserve">2 </w:t>
        </w:r>
        <w:r w:rsidRPr="0087023F">
          <w:rPr>
            <w:rStyle w:val="affa"/>
            <w:noProof/>
          </w:rPr>
          <w:t>任务来源</w:t>
        </w:r>
        <w:r>
          <w:rPr>
            <w:noProof/>
            <w:webHidden/>
          </w:rPr>
          <w:tab/>
        </w:r>
        <w:r>
          <w:rPr>
            <w:noProof/>
            <w:webHidden/>
          </w:rPr>
          <w:fldChar w:fldCharType="begin"/>
        </w:r>
        <w:r>
          <w:rPr>
            <w:noProof/>
            <w:webHidden/>
          </w:rPr>
          <w:instrText xml:space="preserve"> PAGEREF _Toc89240939 \h </w:instrText>
        </w:r>
        <w:r>
          <w:rPr>
            <w:noProof/>
            <w:webHidden/>
          </w:rPr>
        </w:r>
        <w:r>
          <w:rPr>
            <w:noProof/>
            <w:webHidden/>
          </w:rPr>
          <w:fldChar w:fldCharType="separate"/>
        </w:r>
        <w:r>
          <w:rPr>
            <w:noProof/>
            <w:webHidden/>
          </w:rPr>
          <w:t>4</w:t>
        </w:r>
        <w:r>
          <w:rPr>
            <w:noProof/>
            <w:webHidden/>
          </w:rPr>
          <w:fldChar w:fldCharType="end"/>
        </w:r>
      </w:hyperlink>
    </w:p>
    <w:p w:rsidR="003E0330" w:rsidRDefault="003E0330">
      <w:pPr>
        <w:pStyle w:val="TOC1"/>
        <w:tabs>
          <w:tab w:val="right" w:leader="dot" w:pos="8296"/>
        </w:tabs>
        <w:ind w:firstLine="480"/>
        <w:rPr>
          <w:rFonts w:asciiTheme="minorHAnsi" w:eastAsiaTheme="minorEastAsia" w:hAnsiTheme="minorHAnsi" w:cstheme="minorBidi"/>
          <w:noProof/>
          <w:sz w:val="21"/>
        </w:rPr>
      </w:pPr>
      <w:hyperlink w:anchor="_Toc89240940" w:history="1">
        <w:r w:rsidRPr="0087023F">
          <w:rPr>
            <w:rStyle w:val="affa"/>
            <w:noProof/>
          </w:rPr>
          <w:t xml:space="preserve">3 </w:t>
        </w:r>
        <w:r w:rsidRPr="0087023F">
          <w:rPr>
            <w:rStyle w:val="affa"/>
            <w:noProof/>
          </w:rPr>
          <w:t>编制过程</w:t>
        </w:r>
        <w:r>
          <w:rPr>
            <w:noProof/>
            <w:webHidden/>
          </w:rPr>
          <w:tab/>
        </w:r>
        <w:r>
          <w:rPr>
            <w:noProof/>
            <w:webHidden/>
          </w:rPr>
          <w:fldChar w:fldCharType="begin"/>
        </w:r>
        <w:r>
          <w:rPr>
            <w:noProof/>
            <w:webHidden/>
          </w:rPr>
          <w:instrText xml:space="preserve"> PAGEREF _Toc89240940 \h </w:instrText>
        </w:r>
        <w:r>
          <w:rPr>
            <w:noProof/>
            <w:webHidden/>
          </w:rPr>
        </w:r>
        <w:r>
          <w:rPr>
            <w:noProof/>
            <w:webHidden/>
          </w:rPr>
          <w:fldChar w:fldCharType="separate"/>
        </w:r>
        <w:r>
          <w:rPr>
            <w:noProof/>
            <w:webHidden/>
          </w:rPr>
          <w:t>5</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41" w:history="1">
        <w:r w:rsidRPr="0087023F">
          <w:rPr>
            <w:rStyle w:val="affa"/>
            <w:noProof/>
          </w:rPr>
          <w:t xml:space="preserve">3.1 </w:t>
        </w:r>
        <w:r w:rsidRPr="0087023F">
          <w:rPr>
            <w:rStyle w:val="affa"/>
            <w:noProof/>
          </w:rPr>
          <w:t>预研立项阶段</w:t>
        </w:r>
        <w:r>
          <w:rPr>
            <w:noProof/>
            <w:webHidden/>
          </w:rPr>
          <w:tab/>
        </w:r>
        <w:r>
          <w:rPr>
            <w:noProof/>
            <w:webHidden/>
          </w:rPr>
          <w:fldChar w:fldCharType="begin"/>
        </w:r>
        <w:r>
          <w:rPr>
            <w:noProof/>
            <w:webHidden/>
          </w:rPr>
          <w:instrText xml:space="preserve"> PAGEREF _Toc89240941 \h </w:instrText>
        </w:r>
        <w:r>
          <w:rPr>
            <w:noProof/>
            <w:webHidden/>
          </w:rPr>
        </w:r>
        <w:r>
          <w:rPr>
            <w:noProof/>
            <w:webHidden/>
          </w:rPr>
          <w:fldChar w:fldCharType="separate"/>
        </w:r>
        <w:r>
          <w:rPr>
            <w:noProof/>
            <w:webHidden/>
          </w:rPr>
          <w:t>5</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42" w:history="1">
        <w:r w:rsidRPr="0087023F">
          <w:rPr>
            <w:rStyle w:val="affa"/>
            <w:noProof/>
          </w:rPr>
          <w:t xml:space="preserve">3.2 </w:t>
        </w:r>
        <w:r w:rsidRPr="0087023F">
          <w:rPr>
            <w:rStyle w:val="affa"/>
            <w:noProof/>
          </w:rPr>
          <w:t>草案阶段</w:t>
        </w:r>
        <w:r>
          <w:rPr>
            <w:noProof/>
            <w:webHidden/>
          </w:rPr>
          <w:tab/>
        </w:r>
        <w:r>
          <w:rPr>
            <w:noProof/>
            <w:webHidden/>
          </w:rPr>
          <w:fldChar w:fldCharType="begin"/>
        </w:r>
        <w:r>
          <w:rPr>
            <w:noProof/>
            <w:webHidden/>
          </w:rPr>
          <w:instrText xml:space="preserve"> PAGEREF _Toc89240942 \h </w:instrText>
        </w:r>
        <w:r>
          <w:rPr>
            <w:noProof/>
            <w:webHidden/>
          </w:rPr>
        </w:r>
        <w:r>
          <w:rPr>
            <w:noProof/>
            <w:webHidden/>
          </w:rPr>
          <w:fldChar w:fldCharType="separate"/>
        </w:r>
        <w:r>
          <w:rPr>
            <w:noProof/>
            <w:webHidden/>
          </w:rPr>
          <w:t>5</w:t>
        </w:r>
        <w:r>
          <w:rPr>
            <w:noProof/>
            <w:webHidden/>
          </w:rPr>
          <w:fldChar w:fldCharType="end"/>
        </w:r>
      </w:hyperlink>
    </w:p>
    <w:p w:rsidR="003E0330" w:rsidRDefault="003E0330">
      <w:pPr>
        <w:pStyle w:val="TOC1"/>
        <w:tabs>
          <w:tab w:val="right" w:leader="dot" w:pos="8296"/>
        </w:tabs>
        <w:ind w:firstLine="480"/>
        <w:rPr>
          <w:rFonts w:asciiTheme="minorHAnsi" w:eastAsiaTheme="minorEastAsia" w:hAnsiTheme="minorHAnsi" w:cstheme="minorBidi"/>
          <w:noProof/>
          <w:sz w:val="21"/>
        </w:rPr>
      </w:pPr>
      <w:hyperlink w:anchor="_Toc89240943" w:history="1">
        <w:r w:rsidRPr="0087023F">
          <w:rPr>
            <w:rStyle w:val="affa"/>
            <w:noProof/>
          </w:rPr>
          <w:t xml:space="preserve">4 </w:t>
        </w:r>
        <w:r w:rsidRPr="0087023F">
          <w:rPr>
            <w:rStyle w:val="affa"/>
            <w:noProof/>
          </w:rPr>
          <w:t>主要内容技术指标确立</w:t>
        </w:r>
        <w:r>
          <w:rPr>
            <w:noProof/>
            <w:webHidden/>
          </w:rPr>
          <w:tab/>
        </w:r>
        <w:r>
          <w:rPr>
            <w:noProof/>
            <w:webHidden/>
          </w:rPr>
          <w:fldChar w:fldCharType="begin"/>
        </w:r>
        <w:r>
          <w:rPr>
            <w:noProof/>
            <w:webHidden/>
          </w:rPr>
          <w:instrText xml:space="preserve"> PAGEREF _Toc89240943 \h </w:instrText>
        </w:r>
        <w:r>
          <w:rPr>
            <w:noProof/>
            <w:webHidden/>
          </w:rPr>
        </w:r>
        <w:r>
          <w:rPr>
            <w:noProof/>
            <w:webHidden/>
          </w:rPr>
          <w:fldChar w:fldCharType="separate"/>
        </w:r>
        <w:r>
          <w:rPr>
            <w:noProof/>
            <w:webHidden/>
          </w:rPr>
          <w:t>5</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44" w:history="1">
        <w:r w:rsidRPr="0087023F">
          <w:rPr>
            <w:rStyle w:val="affa"/>
            <w:noProof/>
          </w:rPr>
          <w:t xml:space="preserve">4.1 </w:t>
        </w:r>
        <w:r w:rsidRPr="0087023F">
          <w:rPr>
            <w:rStyle w:val="affa"/>
            <w:noProof/>
          </w:rPr>
          <w:t>标准结构框架</w:t>
        </w:r>
        <w:r>
          <w:rPr>
            <w:noProof/>
            <w:webHidden/>
          </w:rPr>
          <w:tab/>
        </w:r>
        <w:r>
          <w:rPr>
            <w:noProof/>
            <w:webHidden/>
          </w:rPr>
          <w:fldChar w:fldCharType="begin"/>
        </w:r>
        <w:r>
          <w:rPr>
            <w:noProof/>
            <w:webHidden/>
          </w:rPr>
          <w:instrText xml:space="preserve"> PAGEREF _Toc89240944 \h </w:instrText>
        </w:r>
        <w:r>
          <w:rPr>
            <w:noProof/>
            <w:webHidden/>
          </w:rPr>
        </w:r>
        <w:r>
          <w:rPr>
            <w:noProof/>
            <w:webHidden/>
          </w:rPr>
          <w:fldChar w:fldCharType="separate"/>
        </w:r>
        <w:r>
          <w:rPr>
            <w:noProof/>
            <w:webHidden/>
          </w:rPr>
          <w:t>5</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45" w:history="1">
        <w:r w:rsidRPr="0087023F">
          <w:rPr>
            <w:rStyle w:val="affa"/>
            <w:noProof/>
          </w:rPr>
          <w:t xml:space="preserve">4.2 </w:t>
        </w:r>
        <w:r w:rsidRPr="0087023F">
          <w:rPr>
            <w:rStyle w:val="affa"/>
            <w:noProof/>
          </w:rPr>
          <w:t>标准性质和适用范围</w:t>
        </w:r>
        <w:r>
          <w:rPr>
            <w:noProof/>
            <w:webHidden/>
          </w:rPr>
          <w:tab/>
        </w:r>
        <w:r>
          <w:rPr>
            <w:noProof/>
            <w:webHidden/>
          </w:rPr>
          <w:fldChar w:fldCharType="begin"/>
        </w:r>
        <w:r>
          <w:rPr>
            <w:noProof/>
            <w:webHidden/>
          </w:rPr>
          <w:instrText xml:space="preserve"> PAGEREF _Toc89240945 \h </w:instrText>
        </w:r>
        <w:r>
          <w:rPr>
            <w:noProof/>
            <w:webHidden/>
          </w:rPr>
        </w:r>
        <w:r>
          <w:rPr>
            <w:noProof/>
            <w:webHidden/>
          </w:rPr>
          <w:fldChar w:fldCharType="separate"/>
        </w:r>
        <w:r>
          <w:rPr>
            <w:noProof/>
            <w:webHidden/>
          </w:rPr>
          <w:t>6</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46" w:history="1">
        <w:r w:rsidRPr="0087023F">
          <w:rPr>
            <w:rStyle w:val="affa"/>
            <w:noProof/>
          </w:rPr>
          <w:t xml:space="preserve">4.3 </w:t>
        </w:r>
        <w:r w:rsidRPr="0087023F">
          <w:rPr>
            <w:rStyle w:val="affa"/>
            <w:noProof/>
          </w:rPr>
          <w:t>规范性引用文件</w:t>
        </w:r>
        <w:r>
          <w:rPr>
            <w:noProof/>
            <w:webHidden/>
          </w:rPr>
          <w:tab/>
        </w:r>
        <w:r>
          <w:rPr>
            <w:noProof/>
            <w:webHidden/>
          </w:rPr>
          <w:fldChar w:fldCharType="begin"/>
        </w:r>
        <w:r>
          <w:rPr>
            <w:noProof/>
            <w:webHidden/>
          </w:rPr>
          <w:instrText xml:space="preserve"> PAGEREF _Toc89240946 \h </w:instrText>
        </w:r>
        <w:r>
          <w:rPr>
            <w:noProof/>
            <w:webHidden/>
          </w:rPr>
        </w:r>
        <w:r>
          <w:rPr>
            <w:noProof/>
            <w:webHidden/>
          </w:rPr>
          <w:fldChar w:fldCharType="separate"/>
        </w:r>
        <w:r>
          <w:rPr>
            <w:noProof/>
            <w:webHidden/>
          </w:rPr>
          <w:t>8</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47" w:history="1">
        <w:r w:rsidRPr="0087023F">
          <w:rPr>
            <w:rStyle w:val="affa"/>
            <w:noProof/>
          </w:rPr>
          <w:t xml:space="preserve">4.4 </w:t>
        </w:r>
        <w:r w:rsidRPr="0087023F">
          <w:rPr>
            <w:rStyle w:val="affa"/>
            <w:noProof/>
          </w:rPr>
          <w:t>术语和定义</w:t>
        </w:r>
        <w:r>
          <w:rPr>
            <w:noProof/>
            <w:webHidden/>
          </w:rPr>
          <w:tab/>
        </w:r>
        <w:r>
          <w:rPr>
            <w:noProof/>
            <w:webHidden/>
          </w:rPr>
          <w:fldChar w:fldCharType="begin"/>
        </w:r>
        <w:r>
          <w:rPr>
            <w:noProof/>
            <w:webHidden/>
          </w:rPr>
          <w:instrText xml:space="preserve"> PAGEREF _Toc89240947 \h </w:instrText>
        </w:r>
        <w:r>
          <w:rPr>
            <w:noProof/>
            <w:webHidden/>
          </w:rPr>
        </w:r>
        <w:r>
          <w:rPr>
            <w:noProof/>
            <w:webHidden/>
          </w:rPr>
          <w:fldChar w:fldCharType="separate"/>
        </w:r>
        <w:r>
          <w:rPr>
            <w:noProof/>
            <w:webHidden/>
          </w:rPr>
          <w:t>8</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48" w:history="1">
        <w:r w:rsidRPr="0087023F">
          <w:rPr>
            <w:rStyle w:val="affa"/>
            <w:noProof/>
          </w:rPr>
          <w:t xml:space="preserve">4.4 </w:t>
        </w:r>
        <w:r w:rsidRPr="0087023F">
          <w:rPr>
            <w:rStyle w:val="affa"/>
            <w:noProof/>
          </w:rPr>
          <w:t>能耗统计范围</w:t>
        </w:r>
        <w:r>
          <w:rPr>
            <w:noProof/>
            <w:webHidden/>
          </w:rPr>
          <w:tab/>
        </w:r>
        <w:r>
          <w:rPr>
            <w:noProof/>
            <w:webHidden/>
          </w:rPr>
          <w:fldChar w:fldCharType="begin"/>
        </w:r>
        <w:r>
          <w:rPr>
            <w:noProof/>
            <w:webHidden/>
          </w:rPr>
          <w:instrText xml:space="preserve"> PAGEREF _Toc89240948 \h </w:instrText>
        </w:r>
        <w:r>
          <w:rPr>
            <w:noProof/>
            <w:webHidden/>
          </w:rPr>
        </w:r>
        <w:r>
          <w:rPr>
            <w:noProof/>
            <w:webHidden/>
          </w:rPr>
          <w:fldChar w:fldCharType="separate"/>
        </w:r>
        <w:r>
          <w:rPr>
            <w:noProof/>
            <w:webHidden/>
          </w:rPr>
          <w:t>9</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49" w:history="1">
        <w:r w:rsidRPr="0087023F">
          <w:rPr>
            <w:rStyle w:val="affa"/>
            <w:noProof/>
          </w:rPr>
          <w:t>4.5</w:t>
        </w:r>
        <w:r w:rsidRPr="0087023F">
          <w:rPr>
            <w:rStyle w:val="affa"/>
            <w:noProof/>
          </w:rPr>
          <w:t>能耗评价指标</w:t>
        </w:r>
        <w:r>
          <w:rPr>
            <w:noProof/>
            <w:webHidden/>
          </w:rPr>
          <w:tab/>
        </w:r>
        <w:r>
          <w:rPr>
            <w:noProof/>
            <w:webHidden/>
          </w:rPr>
          <w:fldChar w:fldCharType="begin"/>
        </w:r>
        <w:r>
          <w:rPr>
            <w:noProof/>
            <w:webHidden/>
          </w:rPr>
          <w:instrText xml:space="preserve"> PAGEREF _Toc89240949 \h </w:instrText>
        </w:r>
        <w:r>
          <w:rPr>
            <w:noProof/>
            <w:webHidden/>
          </w:rPr>
        </w:r>
        <w:r>
          <w:rPr>
            <w:noProof/>
            <w:webHidden/>
          </w:rPr>
          <w:fldChar w:fldCharType="separate"/>
        </w:r>
        <w:r>
          <w:rPr>
            <w:noProof/>
            <w:webHidden/>
          </w:rPr>
          <w:t>11</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50" w:history="1">
        <w:r w:rsidRPr="0087023F">
          <w:rPr>
            <w:rStyle w:val="affa"/>
            <w:noProof/>
          </w:rPr>
          <w:t xml:space="preserve">4.6 </w:t>
        </w:r>
        <w:r w:rsidRPr="0087023F">
          <w:rPr>
            <w:rStyle w:val="affa"/>
            <w:noProof/>
          </w:rPr>
          <w:t>能耗计算方法</w:t>
        </w:r>
        <w:r>
          <w:rPr>
            <w:noProof/>
            <w:webHidden/>
          </w:rPr>
          <w:tab/>
        </w:r>
        <w:r>
          <w:rPr>
            <w:noProof/>
            <w:webHidden/>
          </w:rPr>
          <w:fldChar w:fldCharType="begin"/>
        </w:r>
        <w:r>
          <w:rPr>
            <w:noProof/>
            <w:webHidden/>
          </w:rPr>
          <w:instrText xml:space="preserve"> PAGEREF _Toc89240950 \h </w:instrText>
        </w:r>
        <w:r>
          <w:rPr>
            <w:noProof/>
            <w:webHidden/>
          </w:rPr>
        </w:r>
        <w:r>
          <w:rPr>
            <w:noProof/>
            <w:webHidden/>
          </w:rPr>
          <w:fldChar w:fldCharType="separate"/>
        </w:r>
        <w:r>
          <w:rPr>
            <w:noProof/>
            <w:webHidden/>
          </w:rPr>
          <w:t>12</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51" w:history="1">
        <w:r w:rsidRPr="0087023F">
          <w:rPr>
            <w:rStyle w:val="affa"/>
            <w:noProof/>
          </w:rPr>
          <w:t xml:space="preserve">4.7 </w:t>
        </w:r>
        <w:r w:rsidRPr="0087023F">
          <w:rPr>
            <w:rStyle w:val="affa"/>
            <w:noProof/>
          </w:rPr>
          <w:t>能耗限额要求</w:t>
        </w:r>
        <w:r>
          <w:rPr>
            <w:noProof/>
            <w:webHidden/>
          </w:rPr>
          <w:tab/>
        </w:r>
        <w:r>
          <w:rPr>
            <w:noProof/>
            <w:webHidden/>
          </w:rPr>
          <w:fldChar w:fldCharType="begin"/>
        </w:r>
        <w:r>
          <w:rPr>
            <w:noProof/>
            <w:webHidden/>
          </w:rPr>
          <w:instrText xml:space="preserve"> PAGEREF _Toc89240951 \h </w:instrText>
        </w:r>
        <w:r>
          <w:rPr>
            <w:noProof/>
            <w:webHidden/>
          </w:rPr>
        </w:r>
        <w:r>
          <w:rPr>
            <w:noProof/>
            <w:webHidden/>
          </w:rPr>
          <w:fldChar w:fldCharType="separate"/>
        </w:r>
        <w:r>
          <w:rPr>
            <w:noProof/>
            <w:webHidden/>
          </w:rPr>
          <w:t>15</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52" w:history="1">
        <w:r w:rsidRPr="0087023F">
          <w:rPr>
            <w:rStyle w:val="affa"/>
            <w:noProof/>
          </w:rPr>
          <w:t xml:space="preserve">4.8 </w:t>
        </w:r>
        <w:r w:rsidRPr="0087023F">
          <w:rPr>
            <w:rStyle w:val="affa"/>
            <w:noProof/>
          </w:rPr>
          <w:t>能效评价</w:t>
        </w:r>
        <w:r>
          <w:rPr>
            <w:noProof/>
            <w:webHidden/>
          </w:rPr>
          <w:tab/>
        </w:r>
        <w:r>
          <w:rPr>
            <w:noProof/>
            <w:webHidden/>
          </w:rPr>
          <w:fldChar w:fldCharType="begin"/>
        </w:r>
        <w:r>
          <w:rPr>
            <w:noProof/>
            <w:webHidden/>
          </w:rPr>
          <w:instrText xml:space="preserve"> PAGEREF _Toc89240952 \h </w:instrText>
        </w:r>
        <w:r>
          <w:rPr>
            <w:noProof/>
            <w:webHidden/>
          </w:rPr>
        </w:r>
        <w:r>
          <w:rPr>
            <w:noProof/>
            <w:webHidden/>
          </w:rPr>
          <w:fldChar w:fldCharType="separate"/>
        </w:r>
        <w:r>
          <w:rPr>
            <w:noProof/>
            <w:webHidden/>
          </w:rPr>
          <w:t>26</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53" w:history="1">
        <w:r w:rsidRPr="0087023F">
          <w:rPr>
            <w:rStyle w:val="affa"/>
            <w:noProof/>
          </w:rPr>
          <w:t xml:space="preserve">4.9 </w:t>
        </w:r>
        <w:r w:rsidRPr="0087023F">
          <w:rPr>
            <w:rStyle w:val="affa"/>
            <w:noProof/>
          </w:rPr>
          <w:t>节能管理与措施</w:t>
        </w:r>
        <w:r>
          <w:rPr>
            <w:noProof/>
            <w:webHidden/>
          </w:rPr>
          <w:tab/>
        </w:r>
        <w:r>
          <w:rPr>
            <w:noProof/>
            <w:webHidden/>
          </w:rPr>
          <w:fldChar w:fldCharType="begin"/>
        </w:r>
        <w:r>
          <w:rPr>
            <w:noProof/>
            <w:webHidden/>
          </w:rPr>
          <w:instrText xml:space="preserve"> PAGEREF _Toc89240953 \h </w:instrText>
        </w:r>
        <w:r>
          <w:rPr>
            <w:noProof/>
            <w:webHidden/>
          </w:rPr>
        </w:r>
        <w:r>
          <w:rPr>
            <w:noProof/>
            <w:webHidden/>
          </w:rPr>
          <w:fldChar w:fldCharType="separate"/>
        </w:r>
        <w:r>
          <w:rPr>
            <w:noProof/>
            <w:webHidden/>
          </w:rPr>
          <w:t>26</w:t>
        </w:r>
        <w:r>
          <w:rPr>
            <w:noProof/>
            <w:webHidden/>
          </w:rPr>
          <w:fldChar w:fldCharType="end"/>
        </w:r>
      </w:hyperlink>
    </w:p>
    <w:p w:rsidR="003E0330" w:rsidRDefault="003E0330">
      <w:pPr>
        <w:pStyle w:val="TOC2"/>
        <w:tabs>
          <w:tab w:val="right" w:leader="dot" w:pos="8296"/>
        </w:tabs>
        <w:ind w:left="480" w:firstLine="480"/>
        <w:rPr>
          <w:rFonts w:asciiTheme="minorHAnsi" w:eastAsiaTheme="minorEastAsia" w:hAnsiTheme="minorHAnsi" w:cstheme="minorBidi"/>
          <w:noProof/>
          <w:sz w:val="21"/>
        </w:rPr>
      </w:pPr>
      <w:hyperlink w:anchor="_Toc89240954" w:history="1">
        <w:r w:rsidRPr="0087023F">
          <w:rPr>
            <w:rStyle w:val="affa"/>
            <w:noProof/>
          </w:rPr>
          <w:t xml:space="preserve">4.10 </w:t>
        </w:r>
        <w:r w:rsidRPr="0087023F">
          <w:rPr>
            <w:rStyle w:val="affa"/>
            <w:noProof/>
          </w:rPr>
          <w:t>其他说明</w:t>
        </w:r>
        <w:r>
          <w:rPr>
            <w:noProof/>
            <w:webHidden/>
          </w:rPr>
          <w:tab/>
        </w:r>
        <w:r>
          <w:rPr>
            <w:noProof/>
            <w:webHidden/>
          </w:rPr>
          <w:fldChar w:fldCharType="begin"/>
        </w:r>
        <w:r>
          <w:rPr>
            <w:noProof/>
            <w:webHidden/>
          </w:rPr>
          <w:instrText xml:space="preserve"> PAGEREF _Toc89240954 \h </w:instrText>
        </w:r>
        <w:r>
          <w:rPr>
            <w:noProof/>
            <w:webHidden/>
          </w:rPr>
        </w:r>
        <w:r>
          <w:rPr>
            <w:noProof/>
            <w:webHidden/>
          </w:rPr>
          <w:fldChar w:fldCharType="separate"/>
        </w:r>
        <w:r>
          <w:rPr>
            <w:noProof/>
            <w:webHidden/>
          </w:rPr>
          <w:t>27</w:t>
        </w:r>
        <w:r>
          <w:rPr>
            <w:noProof/>
            <w:webHidden/>
          </w:rPr>
          <w:fldChar w:fldCharType="end"/>
        </w:r>
      </w:hyperlink>
    </w:p>
    <w:p w:rsidR="003E0330" w:rsidRDefault="003E0330">
      <w:pPr>
        <w:pStyle w:val="TOC1"/>
        <w:tabs>
          <w:tab w:val="right" w:leader="dot" w:pos="8296"/>
        </w:tabs>
        <w:ind w:firstLine="480"/>
        <w:rPr>
          <w:rFonts w:asciiTheme="minorHAnsi" w:eastAsiaTheme="minorEastAsia" w:hAnsiTheme="minorHAnsi" w:cstheme="minorBidi"/>
          <w:noProof/>
          <w:sz w:val="21"/>
        </w:rPr>
      </w:pPr>
      <w:hyperlink w:anchor="_Toc89240955" w:history="1">
        <w:r w:rsidRPr="0087023F">
          <w:rPr>
            <w:rStyle w:val="affa"/>
            <w:noProof/>
          </w:rPr>
          <w:t xml:space="preserve">5 </w:t>
        </w:r>
        <w:r w:rsidRPr="0087023F">
          <w:rPr>
            <w:rStyle w:val="affa"/>
            <w:noProof/>
          </w:rPr>
          <w:t>与相关法律法规和国家标准的关系</w:t>
        </w:r>
        <w:r>
          <w:rPr>
            <w:noProof/>
            <w:webHidden/>
          </w:rPr>
          <w:tab/>
        </w:r>
        <w:r>
          <w:rPr>
            <w:noProof/>
            <w:webHidden/>
          </w:rPr>
          <w:fldChar w:fldCharType="begin"/>
        </w:r>
        <w:r>
          <w:rPr>
            <w:noProof/>
            <w:webHidden/>
          </w:rPr>
          <w:instrText xml:space="preserve"> PAGEREF _Toc89240955 \h </w:instrText>
        </w:r>
        <w:r>
          <w:rPr>
            <w:noProof/>
            <w:webHidden/>
          </w:rPr>
        </w:r>
        <w:r>
          <w:rPr>
            <w:noProof/>
            <w:webHidden/>
          </w:rPr>
          <w:fldChar w:fldCharType="separate"/>
        </w:r>
        <w:r>
          <w:rPr>
            <w:noProof/>
            <w:webHidden/>
          </w:rPr>
          <w:t>28</w:t>
        </w:r>
        <w:r>
          <w:rPr>
            <w:noProof/>
            <w:webHidden/>
          </w:rPr>
          <w:fldChar w:fldCharType="end"/>
        </w:r>
      </w:hyperlink>
    </w:p>
    <w:p w:rsidR="003E0330" w:rsidRDefault="003E0330">
      <w:pPr>
        <w:pStyle w:val="TOC1"/>
        <w:tabs>
          <w:tab w:val="right" w:leader="dot" w:pos="8296"/>
        </w:tabs>
        <w:ind w:firstLine="480"/>
        <w:rPr>
          <w:rFonts w:asciiTheme="minorHAnsi" w:eastAsiaTheme="minorEastAsia" w:hAnsiTheme="minorHAnsi" w:cstheme="minorBidi"/>
          <w:noProof/>
          <w:sz w:val="21"/>
        </w:rPr>
      </w:pPr>
      <w:hyperlink w:anchor="_Toc89240956" w:history="1">
        <w:r w:rsidRPr="0087023F">
          <w:rPr>
            <w:rStyle w:val="affa"/>
            <w:noProof/>
          </w:rPr>
          <w:t xml:space="preserve">6 </w:t>
        </w:r>
        <w:r w:rsidRPr="0087023F">
          <w:rPr>
            <w:rStyle w:val="affa"/>
            <w:noProof/>
          </w:rPr>
          <w:t>实施推广建议</w:t>
        </w:r>
        <w:r>
          <w:rPr>
            <w:noProof/>
            <w:webHidden/>
          </w:rPr>
          <w:tab/>
        </w:r>
        <w:r>
          <w:rPr>
            <w:noProof/>
            <w:webHidden/>
          </w:rPr>
          <w:fldChar w:fldCharType="begin"/>
        </w:r>
        <w:r>
          <w:rPr>
            <w:noProof/>
            <w:webHidden/>
          </w:rPr>
          <w:instrText xml:space="preserve"> PAGEREF _Toc89240956 \h </w:instrText>
        </w:r>
        <w:r>
          <w:rPr>
            <w:noProof/>
            <w:webHidden/>
          </w:rPr>
        </w:r>
        <w:r>
          <w:rPr>
            <w:noProof/>
            <w:webHidden/>
          </w:rPr>
          <w:fldChar w:fldCharType="separate"/>
        </w:r>
        <w:r>
          <w:rPr>
            <w:noProof/>
            <w:webHidden/>
          </w:rPr>
          <w:t>28</w:t>
        </w:r>
        <w:r>
          <w:rPr>
            <w:noProof/>
            <w:webHidden/>
          </w:rPr>
          <w:fldChar w:fldCharType="end"/>
        </w:r>
      </w:hyperlink>
    </w:p>
    <w:p w:rsidR="008E7D53" w:rsidRDefault="0098666E">
      <w:pPr>
        <w:spacing w:after="156" w:line="240" w:lineRule="auto"/>
        <w:ind w:firstLine="400"/>
        <w:textAlignment w:val="baseline"/>
        <w:rPr>
          <w:sz w:val="28"/>
        </w:rPr>
        <w:sectPr w:rsidR="008E7D53">
          <w:footerReference w:type="default" r:id="rId16"/>
          <w:pgSz w:w="11906" w:h="16838"/>
          <w:pgMar w:top="1440" w:right="1800" w:bottom="1440" w:left="1800" w:header="851" w:footer="992" w:gutter="0"/>
          <w:pgNumType w:start="1"/>
          <w:cols w:space="720"/>
          <w:titlePg/>
          <w:docGrid w:type="lines" w:linePitch="312"/>
        </w:sectPr>
      </w:pPr>
      <w:r>
        <w:rPr>
          <w:sz w:val="20"/>
          <w:szCs w:val="24"/>
        </w:rPr>
        <w:fldChar w:fldCharType="end"/>
      </w:r>
      <w:bookmarkStart w:id="8" w:name="_GoBack"/>
      <w:bookmarkEnd w:id="8"/>
    </w:p>
    <w:p w:rsidR="008E7D53" w:rsidRDefault="0098666E">
      <w:pPr>
        <w:pStyle w:val="1"/>
        <w:spacing w:after="156"/>
        <w:textAlignment w:val="baseline"/>
      </w:pPr>
      <w:bookmarkStart w:id="9" w:name="_Toc89240935"/>
      <w:bookmarkEnd w:id="6"/>
      <w:bookmarkEnd w:id="7"/>
      <w:r>
        <w:rPr>
          <w:rFonts w:hint="eastAsia"/>
        </w:rPr>
        <w:lastRenderedPageBreak/>
        <w:t>1</w:t>
      </w:r>
      <w:r>
        <w:t xml:space="preserve"> </w:t>
      </w:r>
      <w:r>
        <w:rPr>
          <w:rFonts w:hint="eastAsia"/>
        </w:rPr>
        <w:t>目的意义</w:t>
      </w:r>
      <w:bookmarkEnd w:id="9"/>
    </w:p>
    <w:p w:rsidR="008E7D53" w:rsidRDefault="0098666E">
      <w:pPr>
        <w:pStyle w:val="2"/>
        <w:numPr>
          <w:ilvl w:val="0"/>
          <w:numId w:val="0"/>
        </w:numPr>
        <w:spacing w:after="156"/>
        <w:textAlignment w:val="baseline"/>
        <w:rPr>
          <w:b w:val="0"/>
        </w:rPr>
      </w:pPr>
      <w:bookmarkStart w:id="10" w:name="_Toc89240936"/>
      <w:r>
        <w:rPr>
          <w:b w:val="0"/>
        </w:rPr>
        <w:t xml:space="preserve">1.1 </w:t>
      </w:r>
      <w:r>
        <w:rPr>
          <w:rFonts w:hint="eastAsia"/>
          <w:b w:val="0"/>
        </w:rPr>
        <w:t>产业现状及标准编制的意义</w:t>
      </w:r>
      <w:bookmarkEnd w:id="10"/>
    </w:p>
    <w:p w:rsidR="008E7D53" w:rsidRDefault="0098666E">
      <w:pPr>
        <w:spacing w:before="156" w:after="156" w:line="300" w:lineRule="auto"/>
        <w:ind w:firstLine="482"/>
        <w:textAlignment w:val="baseline"/>
        <w:rPr>
          <w:rStyle w:val="fontstyle01"/>
          <w:rFonts w:ascii="Times New Roman" w:hAnsi="Times New Roman" w:hint="default"/>
          <w:b/>
          <w:bCs/>
          <w:sz w:val="24"/>
          <w:szCs w:val="24"/>
        </w:rPr>
      </w:pPr>
      <w:r>
        <w:rPr>
          <w:rStyle w:val="fontstyle01"/>
          <w:rFonts w:ascii="Times New Roman" w:hAnsi="Times New Roman" w:hint="default"/>
          <w:b/>
          <w:bCs/>
          <w:sz w:val="24"/>
          <w:szCs w:val="24"/>
        </w:rPr>
        <w:t>（</w:t>
      </w:r>
      <w:r>
        <w:rPr>
          <w:rStyle w:val="fontstyle01"/>
          <w:rFonts w:ascii="Times New Roman" w:hAnsi="Times New Roman" w:hint="default"/>
          <w:b/>
          <w:bCs/>
          <w:sz w:val="24"/>
          <w:szCs w:val="24"/>
        </w:rPr>
        <w:t>1</w:t>
      </w:r>
      <w:r>
        <w:rPr>
          <w:rStyle w:val="fontstyle01"/>
          <w:rFonts w:ascii="Times New Roman" w:hAnsi="Times New Roman" w:hint="default"/>
          <w:b/>
          <w:bCs/>
          <w:sz w:val="24"/>
          <w:szCs w:val="24"/>
        </w:rPr>
        <w:t>）落实国家和江苏省相关政策的需求</w:t>
      </w:r>
    </w:p>
    <w:p w:rsidR="008E7D53" w:rsidRDefault="0098666E">
      <w:pPr>
        <w:ind w:firstLine="480"/>
        <w:textAlignment w:val="baseline"/>
        <w:rPr>
          <w:sz w:val="20"/>
        </w:rPr>
      </w:pPr>
      <w:r>
        <w:t>《工业和通信业节能与综合利用领域技术标准体系建设方案》倡导</w:t>
      </w:r>
      <w:r>
        <w:rPr>
          <w:rFonts w:hint="eastAsia"/>
        </w:rPr>
        <w:t>“</w:t>
      </w:r>
      <w:r>
        <w:t>以实现减少工业过程能源消耗为目的，围绕国家和产业发展规划中关于节能重点工作而制定的标准，包括生产设备节能、节能监测与管理、能源管理与审计、能源消耗限额、高效节能型产品及装置、产品能效、节能技术、新能源应用等</w:t>
      </w:r>
      <w:r>
        <w:rPr>
          <w:rFonts w:hint="eastAsia"/>
        </w:rPr>
        <w:t>”</w:t>
      </w:r>
      <w:r>
        <w:t>。《</w:t>
      </w:r>
      <w:r>
        <w:rPr>
          <w:rFonts w:hint="eastAsia"/>
        </w:rPr>
        <w:t>“</w:t>
      </w:r>
      <w:r>
        <w:t>十三五</w:t>
      </w:r>
      <w:r>
        <w:rPr>
          <w:rFonts w:hint="eastAsia"/>
        </w:rPr>
        <w:t>”</w:t>
      </w:r>
      <w:r>
        <w:t>节能减排综合工作方案》（国发</w:t>
      </w:r>
      <w:r>
        <w:rPr>
          <w:rFonts w:ascii="微软雅黑" w:eastAsia="微软雅黑" w:hAnsi="微软雅黑" w:cs="微软雅黑" w:hint="eastAsia"/>
        </w:rPr>
        <w:t>〔</w:t>
      </w:r>
      <w:r>
        <w:t>2016</w:t>
      </w:r>
      <w:r>
        <w:rPr>
          <w:rFonts w:ascii="微软雅黑" w:eastAsia="微软雅黑" w:hAnsi="微软雅黑" w:cs="微软雅黑" w:hint="eastAsia"/>
        </w:rPr>
        <w:t>〕</w:t>
      </w:r>
      <w:r>
        <w:t xml:space="preserve"> 74</w:t>
      </w:r>
      <w:r>
        <w:t>号）提出要</w:t>
      </w:r>
      <w:r>
        <w:rPr>
          <w:rFonts w:hint="eastAsia"/>
        </w:rPr>
        <w:t>“</w:t>
      </w:r>
      <w:r>
        <w:t>强化重点用能设备节能管理，加强高耗能特种设备节能审查和监管，构建安全、节能、环保三位一体的监管体系</w:t>
      </w:r>
      <w:r>
        <w:rPr>
          <w:rFonts w:hint="eastAsia"/>
        </w:rPr>
        <w:t>”</w:t>
      </w:r>
      <w:r>
        <w:t>。《工业绿色发展规划（</w:t>
      </w:r>
      <w:r>
        <w:t>2016-2020</w:t>
      </w:r>
      <w:r>
        <w:t>年）》（工信部规</w:t>
      </w:r>
      <w:r>
        <w:rPr>
          <w:rFonts w:ascii="微软雅黑" w:eastAsia="微软雅黑" w:hAnsi="微软雅黑" w:cs="微软雅黑" w:hint="eastAsia"/>
        </w:rPr>
        <w:t>〔</w:t>
      </w:r>
      <w:r>
        <w:t>2016</w:t>
      </w:r>
      <w:r>
        <w:rPr>
          <w:rFonts w:ascii="微软雅黑" w:eastAsia="微软雅黑" w:hAnsi="微软雅黑" w:cs="微软雅黑" w:hint="eastAsia"/>
        </w:rPr>
        <w:t>〕</w:t>
      </w:r>
      <w:r>
        <w:t xml:space="preserve"> 225</w:t>
      </w:r>
      <w:r>
        <w:t>号）提出要</w:t>
      </w:r>
      <w:r>
        <w:rPr>
          <w:rFonts w:hint="eastAsia"/>
        </w:rPr>
        <w:t>“</w:t>
      </w:r>
      <w:r>
        <w:t>大力推进能效提升，加快实现节约发展；以先进适用技术装备应用为手段，强化技术节能；在重点用能行业实施能效领跑者行动，开展企业能效对标达标</w:t>
      </w:r>
      <w:r>
        <w:rPr>
          <w:rFonts w:hint="eastAsia"/>
        </w:rPr>
        <w:t>”</w:t>
      </w:r>
      <w:r>
        <w:t>。《生态文明建设标准体系发展行动指南（</w:t>
      </w:r>
      <w:r>
        <w:t>2018-2020</w:t>
      </w:r>
      <w:r>
        <w:t>年）》提出要</w:t>
      </w:r>
      <w:r>
        <w:rPr>
          <w:rFonts w:hint="eastAsia"/>
        </w:rPr>
        <w:t>“</w:t>
      </w:r>
      <w:r>
        <w:t>健全节能、节水、节地、节材、节矿标准体系，加快制修订能效、能耗限额、能源管理体系等节能标准</w:t>
      </w:r>
      <w:r>
        <w:rPr>
          <w:rFonts w:hint="eastAsia"/>
        </w:rPr>
        <w:t>”</w:t>
      </w:r>
      <w:r>
        <w:t>。</w:t>
      </w:r>
    </w:p>
    <w:p w:rsidR="008E7D53" w:rsidRDefault="0098666E">
      <w:pPr>
        <w:ind w:firstLine="480"/>
        <w:textAlignment w:val="baseline"/>
        <w:rPr>
          <w:sz w:val="20"/>
        </w:rPr>
      </w:pPr>
      <w:r>
        <w:t>《江苏省</w:t>
      </w:r>
      <w:r>
        <w:rPr>
          <w:rFonts w:hint="eastAsia"/>
        </w:rPr>
        <w:t>“</w:t>
      </w:r>
      <w:r>
        <w:t>十三五</w:t>
      </w:r>
      <w:r>
        <w:rPr>
          <w:rFonts w:hint="eastAsia"/>
        </w:rPr>
        <w:t>”</w:t>
      </w:r>
      <w:r>
        <w:t>节能</w:t>
      </w:r>
      <w:r>
        <w:t>规划》提出要</w:t>
      </w:r>
      <w:r>
        <w:rPr>
          <w:rFonts w:hint="eastAsia"/>
        </w:rPr>
        <w:t>“</w:t>
      </w:r>
      <w:r>
        <w:t>进一步完善节能标准体系，逐步完善对能效限额等标准的执行情况的日常监督管理制度和约束制度。建立效率优先的节能监督体系，编制能效指南，规范评审的标准，充分发挥节能评估审查源头控制能耗过快增长的作用</w:t>
      </w:r>
      <w:r>
        <w:rPr>
          <w:rFonts w:hint="eastAsia"/>
        </w:rPr>
        <w:t>”</w:t>
      </w:r>
      <w:r>
        <w:t>。因此，对我省污水生物处理工艺和设备能耗进行标准化研究，可有效支撑节能减排政策的贯彻落实，为促进污水处理行业结构调整和优化升级提供标准依据。</w:t>
      </w:r>
    </w:p>
    <w:p w:rsidR="008E7D53" w:rsidRDefault="0098666E">
      <w:pPr>
        <w:spacing w:before="156" w:after="156" w:line="300" w:lineRule="auto"/>
        <w:ind w:firstLine="482"/>
        <w:textAlignment w:val="baseline"/>
        <w:rPr>
          <w:rStyle w:val="fontstyle01"/>
          <w:rFonts w:ascii="Times New Roman" w:hAnsi="Times New Roman" w:hint="default"/>
          <w:b/>
          <w:bCs/>
          <w:sz w:val="24"/>
          <w:szCs w:val="24"/>
        </w:rPr>
      </w:pPr>
      <w:r>
        <w:rPr>
          <w:rStyle w:val="fontstyle01"/>
          <w:rFonts w:ascii="Times New Roman" w:hAnsi="Times New Roman" w:hint="default"/>
          <w:b/>
          <w:bCs/>
          <w:sz w:val="24"/>
          <w:szCs w:val="24"/>
        </w:rPr>
        <w:t>（</w:t>
      </w:r>
      <w:r>
        <w:rPr>
          <w:rStyle w:val="fontstyle01"/>
          <w:rFonts w:ascii="Times New Roman" w:hAnsi="Times New Roman" w:hint="default"/>
          <w:b/>
          <w:bCs/>
          <w:sz w:val="24"/>
          <w:szCs w:val="24"/>
        </w:rPr>
        <w:t>2</w:t>
      </w:r>
      <w:r>
        <w:rPr>
          <w:rStyle w:val="fontstyle01"/>
          <w:rFonts w:ascii="Times New Roman" w:hAnsi="Times New Roman" w:hint="default"/>
          <w:b/>
          <w:bCs/>
          <w:sz w:val="24"/>
          <w:szCs w:val="24"/>
        </w:rPr>
        <w:t>）满足国家和江苏省污水处理厂能耗管理的实际需求</w:t>
      </w:r>
    </w:p>
    <w:p w:rsidR="008E7D53" w:rsidRDefault="0098666E">
      <w:pPr>
        <w:ind w:firstLine="480"/>
        <w:textAlignment w:val="baseline"/>
        <w:rPr>
          <w:sz w:val="20"/>
        </w:rPr>
      </w:pPr>
      <w:r>
        <w:t>我国污水处理厂的大规模建设始于二十世纪八十年代末，经过近三十年的发展，污水处理能力得到了极大地提高。根据《中国</w:t>
      </w:r>
      <w:r>
        <w:t>生态环境状况公报</w:t>
      </w:r>
      <w:r>
        <w:t>2019</w:t>
      </w:r>
      <w:r>
        <w:t>》和《城市建设统计年鉴</w:t>
      </w:r>
      <w:r>
        <w:t>2019</w:t>
      </w:r>
      <w:r>
        <w:t>》，截至</w:t>
      </w:r>
      <w:r>
        <w:t>2019</w:t>
      </w:r>
      <w:r>
        <w:t>年，全国城市污水处理厂为</w:t>
      </w:r>
      <w:r>
        <w:t>2471</w:t>
      </w:r>
      <w:r>
        <w:t>座，比</w:t>
      </w:r>
      <w:r>
        <w:t>2018</w:t>
      </w:r>
      <w:r>
        <w:t>年增加了</w:t>
      </w:r>
      <w:r>
        <w:t>6.5%</w:t>
      </w:r>
      <w:r>
        <w:t>；污水处理能力达</w:t>
      </w:r>
      <w:r>
        <w:t>1.79</w:t>
      </w:r>
      <w:r>
        <w:t>亿</w:t>
      </w:r>
      <w:r>
        <w:t>m</w:t>
      </w:r>
      <w:r>
        <w:rPr>
          <w:vertAlign w:val="superscript"/>
        </w:rPr>
        <w:t>3</w:t>
      </w:r>
      <w:r>
        <w:t>/d</w:t>
      </w:r>
      <w:r>
        <w:t>，比</w:t>
      </w:r>
      <w:r>
        <w:t>2018</w:t>
      </w:r>
      <w:r>
        <w:t>年提高了</w:t>
      </w:r>
      <w:r>
        <w:t>5.9%</w:t>
      </w:r>
      <w:r>
        <w:t>；年累计处理污水量</w:t>
      </w:r>
      <w:r>
        <w:t>532</w:t>
      </w:r>
      <w:r>
        <w:t>亿</w:t>
      </w:r>
      <w:r>
        <w:t>m</w:t>
      </w:r>
      <w:r>
        <w:rPr>
          <w:vertAlign w:val="superscript"/>
        </w:rPr>
        <w:t>3</w:t>
      </w:r>
      <w:r>
        <w:t>，比</w:t>
      </w:r>
      <w:r>
        <w:t>2018</w:t>
      </w:r>
      <w:r>
        <w:t>年增加了</w:t>
      </w:r>
      <w:r>
        <w:t>2.1%</w:t>
      </w:r>
      <w:r>
        <w:t>。根据《江苏省统计年鉴</w:t>
      </w:r>
      <w:r>
        <w:t>2020</w:t>
      </w:r>
      <w:r>
        <w:t>》，</w:t>
      </w:r>
      <w:r>
        <w:lastRenderedPageBreak/>
        <w:t>截至</w:t>
      </w:r>
      <w:r>
        <w:t>2019</w:t>
      </w:r>
      <w:r>
        <w:t>年底，江苏省城市（县城）污水处理率达</w:t>
      </w:r>
      <w:r>
        <w:t>96.14%</w:t>
      </w:r>
      <w:r>
        <w:t>，城镇污水处理能力达</w:t>
      </w:r>
      <w:r>
        <w:t>1942.1</w:t>
      </w:r>
      <w:r>
        <w:t>万</w:t>
      </w:r>
      <w:r>
        <w:t>m</w:t>
      </w:r>
      <w:r>
        <w:rPr>
          <w:vertAlign w:val="superscript"/>
        </w:rPr>
        <w:t>3</w:t>
      </w:r>
      <w:r>
        <w:t>/d</w:t>
      </w:r>
      <w:r>
        <w:t>，污水处理量达</w:t>
      </w:r>
      <w:r>
        <w:t>45</w:t>
      </w:r>
      <w:r>
        <w:t>亿</w:t>
      </w:r>
      <w:r>
        <w:t>m</w:t>
      </w:r>
      <w:r>
        <w:rPr>
          <w:vertAlign w:val="superscript"/>
        </w:rPr>
        <w:t>3</w:t>
      </w:r>
      <w:r>
        <w:t>，位于全国第二，仅次于广东。</w:t>
      </w:r>
    </w:p>
    <w:p w:rsidR="008E7D53" w:rsidRDefault="0098666E">
      <w:pPr>
        <w:ind w:firstLine="480"/>
        <w:textAlignment w:val="baseline"/>
        <w:rPr>
          <w:sz w:val="20"/>
        </w:rPr>
      </w:pPr>
      <w:r>
        <w:t>随着污水处理率、出水排放标准和污泥处置标准等环保要求的不断严格和提高，</w:t>
      </w:r>
      <w:r>
        <w:t>以及污水处理厂的大量兴建，污水处理厂运行所消耗的电量将逐年增加，污水处理的能源消耗进一步加剧，污水处理中能源消耗问题越来越受到重视。污水量巨大、能量消耗大、运行费用高给相关的市政部门、生产部门带来了沉重的经济负担。在此趋势下，合理评估污水处理能耗水平，降低能源消耗，对于实现节能减排具有重要的现实意义。</w:t>
      </w:r>
    </w:p>
    <w:p w:rsidR="008E7D53" w:rsidRDefault="0098666E">
      <w:pPr>
        <w:ind w:firstLine="480"/>
        <w:textAlignment w:val="baseline"/>
        <w:rPr>
          <w:sz w:val="20"/>
        </w:rPr>
      </w:pPr>
      <w:r>
        <w:t>因此，本文件</w:t>
      </w:r>
      <w:r>
        <w:rPr>
          <w:rFonts w:hint="eastAsia"/>
        </w:rPr>
        <w:t>给出统一的能耗评价指标和</w:t>
      </w:r>
      <w:r>
        <w:t>计算方法、能效评定方法，用于反映</w:t>
      </w:r>
      <w:r>
        <w:rPr>
          <w:rFonts w:hint="eastAsia"/>
        </w:rPr>
        <w:t>污水处理厂中主要耗能系统——生物处理系统</w:t>
      </w:r>
      <w:r>
        <w:t>的能耗和效率，对于污水处理厂正确识别污水生物处理工艺的能耗与能效，正确进行设备改良、制定高效污水处理</w:t>
      </w:r>
      <w:r>
        <w:t>降耗措施具有重要作用。</w:t>
      </w:r>
    </w:p>
    <w:p w:rsidR="008E7D53" w:rsidRDefault="0098666E">
      <w:pPr>
        <w:spacing w:before="156" w:after="156" w:line="300" w:lineRule="auto"/>
        <w:ind w:firstLine="482"/>
        <w:textAlignment w:val="baseline"/>
        <w:rPr>
          <w:rStyle w:val="fontstyle01"/>
          <w:rFonts w:ascii="Times New Roman" w:hAnsi="Times New Roman" w:hint="default"/>
          <w:b/>
          <w:bCs/>
          <w:sz w:val="24"/>
          <w:szCs w:val="24"/>
        </w:rPr>
      </w:pPr>
      <w:r>
        <w:rPr>
          <w:rStyle w:val="fontstyle01"/>
          <w:rFonts w:ascii="Times New Roman" w:hAnsi="Times New Roman" w:hint="default"/>
          <w:b/>
          <w:bCs/>
          <w:sz w:val="24"/>
          <w:szCs w:val="24"/>
        </w:rPr>
        <w:t>（</w:t>
      </w:r>
      <w:r>
        <w:rPr>
          <w:rStyle w:val="fontstyle01"/>
          <w:rFonts w:ascii="Times New Roman" w:hAnsi="Times New Roman" w:hint="default"/>
          <w:b/>
          <w:bCs/>
          <w:sz w:val="24"/>
          <w:szCs w:val="24"/>
        </w:rPr>
        <w:t>3</w:t>
      </w:r>
      <w:r>
        <w:rPr>
          <w:rStyle w:val="fontstyle01"/>
          <w:rFonts w:ascii="Times New Roman" w:hAnsi="Times New Roman" w:hint="default"/>
          <w:b/>
          <w:bCs/>
          <w:sz w:val="24"/>
          <w:szCs w:val="24"/>
        </w:rPr>
        <w:t>）填补江苏省关于污水生物处理系统能效标准的空白</w:t>
      </w:r>
    </w:p>
    <w:p w:rsidR="008E7D53" w:rsidRDefault="0098666E">
      <w:pPr>
        <w:ind w:firstLine="480"/>
      </w:pPr>
      <w:r>
        <w:rPr>
          <w:rFonts w:hint="eastAsia"/>
        </w:rPr>
        <w:t>江苏省关于能耗的标准已发布</w:t>
      </w:r>
      <w:r>
        <w:t>60</w:t>
      </w:r>
      <w:r>
        <w:rPr>
          <w:rFonts w:hint="eastAsia"/>
        </w:rPr>
        <w:t>余条，主要分布于化工等高耗能的行业，由于水系统的能耗相对较低，长期被忽视，目前未出台污水生物处理系统能效评价的相关标准，缺乏统一的评价指标。以处理水量表示的电耗值、去除污染物量表示的能耗值、当量人口的能耗值等常用的能耗指标大多数是化工行业通用形式的沿用，主要运用于空气压缩机、离心泵等设备。针对水处理过程中耗能最大的生物处理单元，尚无统一的能耗指标能反映耗能及污水处理的本质与特征。本文件旨在建立统一表征污</w:t>
      </w:r>
      <w:r>
        <w:rPr>
          <w:rFonts w:hint="eastAsia"/>
        </w:rPr>
        <w:t>水生物处理系统能效水平的标准指标，确定能耗限额。</w:t>
      </w:r>
    </w:p>
    <w:p w:rsidR="008E7D53" w:rsidRDefault="0098666E">
      <w:pPr>
        <w:pStyle w:val="2"/>
        <w:numPr>
          <w:ilvl w:val="0"/>
          <w:numId w:val="0"/>
        </w:numPr>
        <w:spacing w:after="156"/>
        <w:textAlignment w:val="baseline"/>
        <w:rPr>
          <w:b w:val="0"/>
        </w:rPr>
      </w:pPr>
      <w:bookmarkStart w:id="11" w:name="_Toc89240937"/>
      <w:r>
        <w:rPr>
          <w:b w:val="0"/>
        </w:rPr>
        <w:t xml:space="preserve">1.2 </w:t>
      </w:r>
      <w:r>
        <w:rPr>
          <w:rFonts w:hint="eastAsia"/>
          <w:b w:val="0"/>
        </w:rPr>
        <w:t>标准编制的必要性</w:t>
      </w:r>
      <w:bookmarkEnd w:id="11"/>
    </w:p>
    <w:p w:rsidR="008E7D53" w:rsidRDefault="0098666E">
      <w:pPr>
        <w:ind w:firstLine="480"/>
        <w:textAlignment w:val="baseline"/>
        <w:rPr>
          <w:sz w:val="20"/>
        </w:rPr>
      </w:pPr>
      <w:r>
        <w:rPr>
          <w:rFonts w:hint="eastAsia"/>
        </w:rPr>
        <w:t>污水处理属于高能耗产业，污水处理厂消耗的能源主要包括电、燃料及药剂等潜在能源，其中电耗占总能耗（不含药剂）的</w:t>
      </w:r>
      <w:r>
        <w:t>70%~80%</w:t>
      </w:r>
      <w:r>
        <w:rPr>
          <w:rFonts w:hint="eastAsia"/>
        </w:rPr>
        <w:t>。随着能源价格的上涨，污水处理厂的发展受到直接影响。国内外对污水处理过程中的能量消耗以及优化运行研究相对有限，大大滞后于与水质特性相关的机理和应用研究。</w:t>
      </w:r>
      <w:r>
        <w:rPr>
          <w:rFonts w:hint="eastAsia"/>
        </w:rPr>
        <w:t>Wesner</w:t>
      </w:r>
      <w:r>
        <w:rPr>
          <w:rFonts w:hint="eastAsia"/>
        </w:rPr>
        <w:t>对美国污水处理单元过程进行了直接和间接能耗调查，并预计能耗在污水处理设施运行费用中所占的比例将越来越大。</w:t>
      </w:r>
      <w:r>
        <w:rPr>
          <w:rFonts w:hint="eastAsia"/>
        </w:rPr>
        <w:t>W.F.Owen J</w:t>
      </w:r>
      <w:r>
        <w:rPr>
          <w:rFonts w:hint="eastAsia"/>
        </w:rPr>
        <w:t>用直接能耗和间接能耗的概念，阐述和比较了各种污水处理与污泥处理工艺。</w:t>
      </w:r>
      <w:r>
        <w:rPr>
          <w:rFonts w:hint="eastAsia"/>
        </w:rPr>
        <w:t>Karlsson</w:t>
      </w:r>
      <w:r>
        <w:rPr>
          <w:rFonts w:hint="eastAsia"/>
        </w:rPr>
        <w:t>提出潜在耗氧势</w:t>
      </w:r>
      <w:r>
        <w:rPr>
          <w:rFonts w:hint="eastAsia"/>
        </w:rPr>
        <w:t xml:space="preserve"> </w:t>
      </w:r>
      <w:r>
        <w:lastRenderedPageBreak/>
        <w:t>(</w:t>
      </w:r>
      <w:r>
        <w:rPr>
          <w:rFonts w:hint="eastAsia"/>
        </w:rPr>
        <w:t>Oxygen Consumption Potential</w:t>
      </w:r>
      <w:r>
        <w:rPr>
          <w:rFonts w:hint="eastAsia"/>
        </w:rPr>
        <w:t>，</w:t>
      </w:r>
      <w:r>
        <w:rPr>
          <w:rFonts w:hint="eastAsia"/>
        </w:rPr>
        <w:t>OCP)</w:t>
      </w:r>
      <w:r>
        <w:t xml:space="preserve"> </w:t>
      </w:r>
      <w:r>
        <w:rPr>
          <w:rFonts w:hint="eastAsia"/>
        </w:rPr>
        <w:t>的概念，不仅考虑有机碳和氨氮在污水处理过程的耗氧，还考</w:t>
      </w:r>
      <w:r>
        <w:rPr>
          <w:rFonts w:hint="eastAsia"/>
        </w:rPr>
        <w:t>虑氮磷排放导致藻类生长在环境中分解所需耗氧的二级需氧要求。潜在耗氧势概念考虑了污水工艺出水对生态造成的影响，拓宽了能耗分析的概念，但是，这种方式不适合作为污水处理厂运行过程中能耗的衡量手段和管理依据。</w:t>
      </w:r>
    </w:p>
    <w:p w:rsidR="008E7D53" w:rsidRDefault="0098666E">
      <w:pPr>
        <w:ind w:firstLine="480"/>
        <w:textAlignment w:val="baseline"/>
        <w:rPr>
          <w:sz w:val="20"/>
        </w:rPr>
      </w:pPr>
      <w:r>
        <w:rPr>
          <w:rFonts w:hint="eastAsia"/>
        </w:rPr>
        <w:t>国内，羊寿生等对我国典型一级、二级污水处理厂各单元进行过能耗估算，</w:t>
      </w:r>
      <w:r>
        <w:rPr>
          <w:rFonts w:hint="eastAsia"/>
        </w:rPr>
        <w:t>并</w:t>
      </w:r>
      <w:r>
        <w:rPr>
          <w:rFonts w:hint="eastAsia"/>
        </w:rPr>
        <w:t>给出了估算值，但是研究没有揭示各部分能耗的影响因素，没有根据各部分能耗的特点给出估算值（统一使用吨水单耗来表示），没能揭示不同单元能耗的特点，不利于进行进一步的节能潜力和途径的分析研究，不便于作为能耗管理的依据。高旭、龙腾锐等人进行了污水处理</w:t>
      </w:r>
      <w:r>
        <w:rPr>
          <w:rFonts w:hint="eastAsia"/>
        </w:rPr>
        <w:t>工艺单元能量平衡分析研究，提出用</w:t>
      </w:r>
      <w:r>
        <w:rPr>
          <w:rFonts w:hint="eastAsia"/>
        </w:rPr>
        <w:t>Exergy</w:t>
      </w:r>
      <w:r>
        <w:rPr>
          <w:rFonts w:hint="eastAsia"/>
        </w:rPr>
        <w:t>（能量中可以无损耗地转化为功的部分，即能流中的有用部分）的概念分析污水处理单元能效，但这种方法不便对实际运行中的污水处理厂进行能耗分析和评价。</w:t>
      </w:r>
    </w:p>
    <w:p w:rsidR="008E7D53" w:rsidRDefault="0098666E">
      <w:pPr>
        <w:ind w:firstLine="480"/>
        <w:textAlignment w:val="baseline"/>
        <w:rPr>
          <w:sz w:val="20"/>
        </w:rPr>
      </w:pPr>
      <w:r>
        <w:rPr>
          <w:rFonts w:hint="eastAsia"/>
        </w:rPr>
        <w:t>目前，能耗分析常用的评价指标包括以处理水量表示的电耗值、去除污染物量表示的能耗值、当量人口的能耗值等，这些指标大多数是化工行业通用形式的沿用，并未反映污水处理的本质和特点。因此，有必要根据能耗管理的需要界定污水处理厂能耗分析的边界，并根据实际运行中污水处理厂各部分能耗的特点，建立统一的能耗指标，反映采用各类工艺、不同规模的</w:t>
      </w:r>
      <w:r>
        <w:rPr>
          <w:rFonts w:hint="eastAsia"/>
        </w:rPr>
        <w:t>污水处理厂的能耗，综合评估污水处理厂的能耗水平，进而便于处理工艺间的横向比较、深入的能耗分析、节能潜力的识别以及能耗管理水平的提升。</w:t>
      </w:r>
    </w:p>
    <w:p w:rsidR="008E7D53" w:rsidRDefault="0098666E">
      <w:pPr>
        <w:pStyle w:val="2"/>
        <w:numPr>
          <w:ilvl w:val="0"/>
          <w:numId w:val="0"/>
        </w:numPr>
        <w:spacing w:after="156"/>
        <w:textAlignment w:val="baseline"/>
        <w:rPr>
          <w:b w:val="0"/>
        </w:rPr>
      </w:pPr>
      <w:bookmarkStart w:id="12" w:name="_Toc89240938"/>
      <w:r>
        <w:rPr>
          <w:rFonts w:hint="eastAsia"/>
          <w:b w:val="0"/>
        </w:rPr>
        <w:t>1</w:t>
      </w:r>
      <w:r>
        <w:rPr>
          <w:b w:val="0"/>
        </w:rPr>
        <w:t xml:space="preserve">.3 </w:t>
      </w:r>
      <w:r>
        <w:rPr>
          <w:b w:val="0"/>
        </w:rPr>
        <w:t>标准实施的经济效益</w:t>
      </w:r>
      <w:bookmarkEnd w:id="12"/>
    </w:p>
    <w:p w:rsidR="008E7D53" w:rsidRDefault="0098666E">
      <w:pPr>
        <w:pStyle w:val="ab"/>
        <w:ind w:firstLine="480"/>
        <w:jc w:val="both"/>
        <w:rPr>
          <w:rFonts w:ascii="Times New Roman" w:hAnsi="Times New Roman"/>
          <w:sz w:val="24"/>
          <w:szCs w:val="22"/>
        </w:rPr>
      </w:pPr>
      <w:r>
        <w:rPr>
          <w:rFonts w:ascii="Times New Roman" w:hAnsi="Times New Roman" w:hint="eastAsia"/>
          <w:sz w:val="24"/>
          <w:szCs w:val="22"/>
        </w:rPr>
        <w:t>本文件适用于</w:t>
      </w:r>
      <w:r>
        <w:rPr>
          <w:rFonts w:ascii="Times New Roman" w:hAnsi="Times New Roman"/>
          <w:sz w:val="24"/>
          <w:szCs w:val="22"/>
        </w:rPr>
        <w:t>A</w:t>
      </w:r>
      <w:r>
        <w:rPr>
          <w:rFonts w:ascii="Times New Roman" w:hAnsi="Times New Roman"/>
          <w:sz w:val="24"/>
          <w:szCs w:val="22"/>
          <w:vertAlign w:val="superscript"/>
        </w:rPr>
        <w:t>2</w:t>
      </w:r>
      <w:r>
        <w:rPr>
          <w:rFonts w:ascii="Times New Roman" w:hAnsi="Times New Roman"/>
          <w:sz w:val="24"/>
          <w:szCs w:val="22"/>
        </w:rPr>
        <w:t>/O</w:t>
      </w:r>
      <w:r>
        <w:rPr>
          <w:rFonts w:ascii="Times New Roman" w:hAnsi="Times New Roman" w:hint="eastAsia"/>
          <w:sz w:val="24"/>
          <w:szCs w:val="22"/>
        </w:rPr>
        <w:t>及其变形工艺、氧化沟及其变形工艺、</w:t>
      </w:r>
      <w:r>
        <w:rPr>
          <w:rFonts w:ascii="Times New Roman" w:hAnsi="Times New Roman"/>
          <w:sz w:val="24"/>
          <w:szCs w:val="22"/>
        </w:rPr>
        <w:t>A/O</w:t>
      </w:r>
      <w:r>
        <w:rPr>
          <w:rFonts w:ascii="Times New Roman" w:hAnsi="Times New Roman" w:hint="eastAsia"/>
          <w:sz w:val="24"/>
          <w:szCs w:val="22"/>
        </w:rPr>
        <w:t>及其变形工艺、</w:t>
      </w:r>
      <w:r>
        <w:rPr>
          <w:rFonts w:ascii="Times New Roman" w:hAnsi="Times New Roman"/>
          <w:sz w:val="24"/>
          <w:szCs w:val="22"/>
        </w:rPr>
        <w:t>SBR</w:t>
      </w:r>
      <w:r>
        <w:rPr>
          <w:rFonts w:ascii="Times New Roman" w:hAnsi="Times New Roman" w:hint="eastAsia"/>
          <w:sz w:val="24"/>
          <w:szCs w:val="22"/>
        </w:rPr>
        <w:t>及其变形工艺、生物膜法和</w:t>
      </w:r>
      <w:r>
        <w:rPr>
          <w:rFonts w:ascii="Times New Roman" w:hAnsi="Times New Roman"/>
          <w:sz w:val="24"/>
          <w:szCs w:val="22"/>
        </w:rPr>
        <w:t>MBR</w:t>
      </w:r>
      <w:r>
        <w:rPr>
          <w:rFonts w:ascii="Times New Roman" w:hAnsi="Times New Roman" w:hint="eastAsia"/>
          <w:sz w:val="24"/>
          <w:szCs w:val="22"/>
        </w:rPr>
        <w:t>等污水生物处理工艺，用于分析和评估污水生物处理系统的性能和效率，有助于正确识别污水生物处理系统各部分的能耗水平，正确管理污水生物处理系统的设备，降低污水处理厂的运行成本。</w:t>
      </w:r>
    </w:p>
    <w:p w:rsidR="008E7D53" w:rsidRDefault="0098666E">
      <w:pPr>
        <w:pStyle w:val="1"/>
        <w:spacing w:after="156"/>
        <w:textAlignment w:val="baseline"/>
      </w:pPr>
      <w:bookmarkStart w:id="13" w:name="_Toc89240939"/>
      <w:r>
        <w:t xml:space="preserve">2 </w:t>
      </w:r>
      <w:r>
        <w:rPr>
          <w:rFonts w:hint="eastAsia"/>
        </w:rPr>
        <w:t>任务来源</w:t>
      </w:r>
      <w:bookmarkEnd w:id="13"/>
    </w:p>
    <w:p w:rsidR="008E7D53" w:rsidRDefault="0098666E">
      <w:pPr>
        <w:pStyle w:val="aff1"/>
        <w:spacing w:before="0" w:beforeAutospacing="0" w:after="0" w:afterAutospacing="0" w:line="360" w:lineRule="auto"/>
        <w:ind w:firstLineChars="200" w:firstLine="480"/>
        <w:jc w:val="both"/>
        <w:textAlignment w:val="baseline"/>
        <w:rPr>
          <w:sz w:val="18"/>
        </w:rPr>
      </w:pPr>
      <w:r>
        <w:rPr>
          <w:rFonts w:ascii="Times New Roman" w:hAnsi="Times New Roman" w:cs="Times New Roman" w:hint="eastAsia"/>
        </w:rPr>
        <w:t>为贯彻落实《标准化法》和《江苏省标准监督管理办法》，加快构建符合高质量发展需求的标准体系，促进标准有效供给，江苏省市场监督管理局开展了</w:t>
      </w:r>
      <w:r>
        <w:rPr>
          <w:rFonts w:ascii="Times New Roman" w:hAnsi="Times New Roman" w:cs="Times New Roman"/>
        </w:rPr>
        <w:t>2021</w:t>
      </w:r>
      <w:r>
        <w:rPr>
          <w:rFonts w:ascii="Times New Roman" w:hAnsi="Times New Roman" w:cs="Times New Roman" w:hint="eastAsia"/>
        </w:rPr>
        <w:t>年江苏省地方标准项目立项申报。</w:t>
      </w:r>
      <w:r>
        <w:rPr>
          <w:rFonts w:ascii="Times New Roman" w:hAnsi="Times New Roman" w:cs="Times New Roman"/>
        </w:rPr>
        <w:t>2021</w:t>
      </w:r>
      <w:r>
        <w:rPr>
          <w:rFonts w:ascii="Times New Roman" w:hAnsi="Times New Roman" w:cs="Times New Roman" w:hint="eastAsia"/>
        </w:rPr>
        <w:t>年</w:t>
      </w:r>
      <w:r>
        <w:rPr>
          <w:rFonts w:ascii="Times New Roman" w:hAnsi="Times New Roman" w:cs="Times New Roman"/>
        </w:rPr>
        <w:t>4</w:t>
      </w:r>
      <w:r>
        <w:rPr>
          <w:rFonts w:ascii="Times New Roman" w:hAnsi="Times New Roman" w:cs="Times New Roman" w:hint="eastAsia"/>
        </w:rPr>
        <w:t>月，江苏省市场监督管理局苏</w:t>
      </w:r>
      <w:r>
        <w:rPr>
          <w:rFonts w:ascii="Times New Roman" w:hAnsi="Times New Roman" w:cs="Times New Roman" w:hint="eastAsia"/>
        </w:rPr>
        <w:lastRenderedPageBreak/>
        <w:t>市监标</w:t>
      </w:r>
      <w:r>
        <w:rPr>
          <w:rFonts w:hint="eastAsia"/>
        </w:rPr>
        <w:t>〔</w:t>
      </w:r>
      <w:r>
        <w:rPr>
          <w:rFonts w:ascii="Times New Roman" w:hAnsi="Times New Roman" w:cs="Times New Roman"/>
        </w:rPr>
        <w:t>2021</w:t>
      </w:r>
      <w:r>
        <w:rPr>
          <w:rFonts w:hint="eastAsia"/>
        </w:rPr>
        <w:t>〕</w:t>
      </w:r>
      <w:r>
        <w:rPr>
          <w:rFonts w:ascii="Times New Roman" w:hAnsi="Times New Roman" w:cs="Times New Roman"/>
        </w:rPr>
        <w:t>68</w:t>
      </w:r>
      <w:r>
        <w:rPr>
          <w:rFonts w:ascii="Times New Roman" w:hAnsi="Times New Roman" w:cs="Times New Roman" w:hint="eastAsia"/>
        </w:rPr>
        <w:t>号下达了《</w:t>
      </w:r>
      <w:r>
        <w:rPr>
          <w:rFonts w:ascii="Times New Roman" w:hAnsi="Times New Roman" w:cs="Times New Roman"/>
        </w:rPr>
        <w:t>2021</w:t>
      </w:r>
      <w:r>
        <w:rPr>
          <w:rFonts w:ascii="Times New Roman" w:hAnsi="Times New Roman" w:cs="Times New Roman" w:hint="eastAsia"/>
        </w:rPr>
        <w:t>年度第一批江苏省地方标准项目计划》，由南京大学承担江苏省地方标准《污水生物处理系统能效评价方法》的编制，项目周期为</w:t>
      </w:r>
      <w:r>
        <w:rPr>
          <w:rFonts w:ascii="Times New Roman" w:hAnsi="Times New Roman" w:cs="Times New Roman"/>
        </w:rPr>
        <w:t>1</w:t>
      </w:r>
      <w:r>
        <w:rPr>
          <w:rFonts w:ascii="Times New Roman" w:hAnsi="Times New Roman" w:cs="Times New Roman" w:hint="eastAsia"/>
        </w:rPr>
        <w:t>年。</w:t>
      </w:r>
    </w:p>
    <w:p w:rsidR="008E7D53" w:rsidRDefault="0098666E">
      <w:pPr>
        <w:pStyle w:val="1"/>
        <w:spacing w:after="156"/>
        <w:textAlignment w:val="baseline"/>
      </w:pPr>
      <w:bookmarkStart w:id="14" w:name="_Toc84591877"/>
      <w:bookmarkStart w:id="15" w:name="_Toc89240940"/>
      <w:r>
        <w:rPr>
          <w:rFonts w:hint="eastAsia"/>
        </w:rPr>
        <w:t>3</w:t>
      </w:r>
      <w:r>
        <w:t xml:space="preserve"> </w:t>
      </w:r>
      <w:r>
        <w:rPr>
          <w:rFonts w:hint="eastAsia"/>
        </w:rPr>
        <w:t>编制过程</w:t>
      </w:r>
      <w:bookmarkEnd w:id="14"/>
      <w:bookmarkEnd w:id="15"/>
    </w:p>
    <w:p w:rsidR="008E7D53" w:rsidRDefault="0098666E">
      <w:pPr>
        <w:pStyle w:val="2"/>
        <w:numPr>
          <w:ilvl w:val="0"/>
          <w:numId w:val="0"/>
        </w:numPr>
        <w:spacing w:after="156"/>
        <w:textAlignment w:val="baseline"/>
        <w:rPr>
          <w:b w:val="0"/>
        </w:rPr>
      </w:pPr>
      <w:bookmarkStart w:id="16" w:name="_Toc84591878"/>
      <w:bookmarkStart w:id="17" w:name="_Toc89240941"/>
      <w:r>
        <w:rPr>
          <w:b w:val="0"/>
        </w:rPr>
        <w:t xml:space="preserve">3.1 </w:t>
      </w:r>
      <w:r>
        <w:rPr>
          <w:rFonts w:hint="eastAsia"/>
          <w:b w:val="0"/>
        </w:rPr>
        <w:t>预研立项阶段</w:t>
      </w:r>
      <w:bookmarkEnd w:id="16"/>
      <w:bookmarkEnd w:id="17"/>
    </w:p>
    <w:p w:rsidR="008E7D53" w:rsidRDefault="0098666E">
      <w:pPr>
        <w:ind w:firstLine="480"/>
        <w:textAlignment w:val="baseline"/>
        <w:rPr>
          <w:kern w:val="0"/>
          <w:sz w:val="20"/>
          <w:szCs w:val="24"/>
        </w:rPr>
      </w:pPr>
      <w:r>
        <w:rPr>
          <w:rFonts w:hint="eastAsia"/>
          <w:kern w:val="0"/>
          <w:szCs w:val="24"/>
        </w:rPr>
        <w:t>标准编制组完成了关于能耗的政策背景调研、文献资料调研以及国内外与污水处理厂能耗相关标准调研，编写并提交了项目建议书，于</w:t>
      </w:r>
      <w:r>
        <w:rPr>
          <w:rFonts w:hint="eastAsia"/>
          <w:kern w:val="0"/>
          <w:szCs w:val="24"/>
        </w:rPr>
        <w:t>2021</w:t>
      </w:r>
      <w:r>
        <w:rPr>
          <w:rFonts w:hint="eastAsia"/>
          <w:kern w:val="0"/>
          <w:szCs w:val="24"/>
        </w:rPr>
        <w:t>年</w:t>
      </w:r>
      <w:r>
        <w:rPr>
          <w:rFonts w:hint="eastAsia"/>
          <w:kern w:val="0"/>
          <w:szCs w:val="24"/>
        </w:rPr>
        <w:t>4</w:t>
      </w:r>
      <w:r>
        <w:rPr>
          <w:rFonts w:hint="eastAsia"/>
          <w:kern w:val="0"/>
          <w:szCs w:val="24"/>
        </w:rPr>
        <w:t>月成功立项《污水生物处理系统能效评价方法》。</w:t>
      </w:r>
    </w:p>
    <w:p w:rsidR="008E7D53" w:rsidRDefault="0098666E">
      <w:pPr>
        <w:pStyle w:val="2"/>
        <w:numPr>
          <w:ilvl w:val="0"/>
          <w:numId w:val="0"/>
        </w:numPr>
        <w:spacing w:after="156"/>
        <w:textAlignment w:val="baseline"/>
        <w:rPr>
          <w:b w:val="0"/>
        </w:rPr>
      </w:pPr>
      <w:bookmarkStart w:id="18" w:name="_Toc84591879"/>
      <w:bookmarkStart w:id="19" w:name="_Toc89240942"/>
      <w:r>
        <w:rPr>
          <w:b w:val="0"/>
        </w:rPr>
        <w:t xml:space="preserve">3.2 </w:t>
      </w:r>
      <w:r>
        <w:rPr>
          <w:rFonts w:hint="eastAsia"/>
          <w:b w:val="0"/>
        </w:rPr>
        <w:t>草案阶段</w:t>
      </w:r>
      <w:bookmarkEnd w:id="18"/>
      <w:bookmarkEnd w:id="19"/>
    </w:p>
    <w:p w:rsidR="008E7D53" w:rsidRDefault="0098666E">
      <w:pPr>
        <w:ind w:firstLine="480"/>
        <w:textAlignment w:val="baseline"/>
        <w:rPr>
          <w:kern w:val="0"/>
          <w:sz w:val="20"/>
          <w:szCs w:val="24"/>
        </w:rPr>
      </w:pPr>
      <w:r>
        <w:rPr>
          <w:rFonts w:hint="eastAsia"/>
          <w:kern w:val="0"/>
          <w:szCs w:val="24"/>
        </w:rPr>
        <w:t>2021</w:t>
      </w:r>
      <w:r>
        <w:rPr>
          <w:rFonts w:hint="eastAsia"/>
          <w:kern w:val="0"/>
          <w:szCs w:val="24"/>
        </w:rPr>
        <w:t>年</w:t>
      </w:r>
      <w:r>
        <w:rPr>
          <w:rFonts w:hint="eastAsia"/>
          <w:kern w:val="0"/>
          <w:szCs w:val="24"/>
        </w:rPr>
        <w:t>4</w:t>
      </w:r>
      <w:r>
        <w:rPr>
          <w:rFonts w:hint="eastAsia"/>
          <w:kern w:val="0"/>
          <w:szCs w:val="24"/>
        </w:rPr>
        <w:t>月</w:t>
      </w:r>
      <w:r>
        <w:rPr>
          <w:rFonts w:hint="eastAsia"/>
          <w:kern w:val="0"/>
          <w:szCs w:val="24"/>
        </w:rPr>
        <w:t>~6</w:t>
      </w:r>
      <w:r>
        <w:rPr>
          <w:rFonts w:hint="eastAsia"/>
          <w:kern w:val="0"/>
          <w:szCs w:val="24"/>
        </w:rPr>
        <w:t>月，组织成立了标准编制组，召开了标准启动会，征集参编单位，补充与该标准编制相关的国内外文献、标准、法规政策等资料调研。</w:t>
      </w:r>
    </w:p>
    <w:p w:rsidR="008E7D53" w:rsidRDefault="0098666E">
      <w:pPr>
        <w:ind w:firstLine="480"/>
        <w:textAlignment w:val="baseline"/>
        <w:rPr>
          <w:kern w:val="0"/>
          <w:sz w:val="20"/>
          <w:szCs w:val="24"/>
        </w:rPr>
      </w:pPr>
      <w:r>
        <w:rPr>
          <w:rFonts w:hint="eastAsia"/>
          <w:kern w:val="0"/>
          <w:szCs w:val="24"/>
        </w:rPr>
        <w:t>2021</w:t>
      </w:r>
      <w:r>
        <w:rPr>
          <w:rFonts w:hint="eastAsia"/>
          <w:kern w:val="0"/>
          <w:szCs w:val="24"/>
        </w:rPr>
        <w:t>年</w:t>
      </w:r>
      <w:r>
        <w:rPr>
          <w:rFonts w:hint="eastAsia"/>
          <w:kern w:val="0"/>
          <w:szCs w:val="24"/>
        </w:rPr>
        <w:t>6</w:t>
      </w:r>
      <w:r>
        <w:rPr>
          <w:rFonts w:hint="eastAsia"/>
          <w:kern w:val="0"/>
          <w:szCs w:val="24"/>
        </w:rPr>
        <w:t>月，召开第</w:t>
      </w:r>
      <w:r>
        <w:rPr>
          <w:rFonts w:hint="eastAsia"/>
          <w:kern w:val="0"/>
          <w:szCs w:val="24"/>
        </w:rPr>
        <w:t>1</w:t>
      </w:r>
      <w:r>
        <w:rPr>
          <w:rFonts w:hint="eastAsia"/>
          <w:kern w:val="0"/>
          <w:szCs w:val="24"/>
        </w:rPr>
        <w:t>次工作组内部讨论会，确立了标准草案的框架。</w:t>
      </w:r>
    </w:p>
    <w:p w:rsidR="008E7D53" w:rsidRDefault="0098666E">
      <w:pPr>
        <w:ind w:firstLine="480"/>
        <w:textAlignment w:val="baseline"/>
        <w:rPr>
          <w:kern w:val="0"/>
          <w:sz w:val="20"/>
          <w:szCs w:val="24"/>
        </w:rPr>
      </w:pPr>
      <w:r>
        <w:rPr>
          <w:rFonts w:hint="eastAsia"/>
          <w:kern w:val="0"/>
          <w:szCs w:val="24"/>
        </w:rPr>
        <w:t>2021</w:t>
      </w:r>
      <w:r>
        <w:rPr>
          <w:rFonts w:hint="eastAsia"/>
          <w:kern w:val="0"/>
          <w:szCs w:val="24"/>
        </w:rPr>
        <w:t>年</w:t>
      </w:r>
      <w:r>
        <w:rPr>
          <w:rFonts w:hint="eastAsia"/>
          <w:kern w:val="0"/>
          <w:szCs w:val="24"/>
        </w:rPr>
        <w:t>7</w:t>
      </w:r>
      <w:r>
        <w:rPr>
          <w:rFonts w:hint="eastAsia"/>
          <w:kern w:val="0"/>
          <w:szCs w:val="24"/>
        </w:rPr>
        <w:t>月</w:t>
      </w:r>
      <w:r>
        <w:rPr>
          <w:rFonts w:hint="eastAsia"/>
          <w:kern w:val="0"/>
          <w:szCs w:val="24"/>
        </w:rPr>
        <w:t>~8</w:t>
      </w:r>
      <w:r>
        <w:rPr>
          <w:rFonts w:hint="eastAsia"/>
          <w:kern w:val="0"/>
          <w:szCs w:val="24"/>
        </w:rPr>
        <w:t>月，对全省城镇污水处理厂规模分布、处理工艺、能耗水平等数据进行线上线下调研；对调研数据进行分析</w:t>
      </w:r>
      <w:r>
        <w:rPr>
          <w:rFonts w:hint="eastAsia"/>
          <w:kern w:val="0"/>
          <w:szCs w:val="24"/>
        </w:rPr>
        <w:t>；召开了两次工作组内部讨论会，确定了能耗指标和评价方法，形成了标准草案。</w:t>
      </w:r>
    </w:p>
    <w:p w:rsidR="008E7D53" w:rsidRDefault="0098666E">
      <w:pPr>
        <w:ind w:firstLine="480"/>
        <w:textAlignment w:val="baseline"/>
        <w:rPr>
          <w:kern w:val="0"/>
          <w:szCs w:val="24"/>
        </w:rPr>
      </w:pPr>
      <w:r>
        <w:rPr>
          <w:rFonts w:hint="eastAsia"/>
          <w:kern w:val="0"/>
          <w:szCs w:val="24"/>
        </w:rPr>
        <w:t>2021</w:t>
      </w:r>
      <w:r>
        <w:rPr>
          <w:rFonts w:hint="eastAsia"/>
          <w:kern w:val="0"/>
          <w:szCs w:val="24"/>
        </w:rPr>
        <w:t>年</w:t>
      </w:r>
      <w:r>
        <w:rPr>
          <w:rFonts w:hint="eastAsia"/>
          <w:kern w:val="0"/>
          <w:szCs w:val="24"/>
        </w:rPr>
        <w:t>9</w:t>
      </w:r>
      <w:r>
        <w:rPr>
          <w:rFonts w:hint="eastAsia"/>
          <w:kern w:val="0"/>
          <w:szCs w:val="24"/>
        </w:rPr>
        <w:t>月，召开本标准首次企业研讨会，并根据会议结果修改完善标准草案和编制说明。</w:t>
      </w:r>
    </w:p>
    <w:p w:rsidR="008E7D53" w:rsidRDefault="0098666E">
      <w:pPr>
        <w:pStyle w:val="ab"/>
        <w:ind w:firstLine="480"/>
        <w:jc w:val="both"/>
      </w:pPr>
      <w:r>
        <w:rPr>
          <w:rFonts w:ascii="Times New Roman" w:hAnsi="Times New Roman"/>
          <w:kern w:val="0"/>
          <w:sz w:val="24"/>
          <w:szCs w:val="24"/>
        </w:rPr>
        <w:t>2021</w:t>
      </w:r>
      <w:r>
        <w:rPr>
          <w:rFonts w:ascii="Times New Roman" w:hAnsi="Times New Roman"/>
          <w:kern w:val="0"/>
          <w:sz w:val="24"/>
          <w:szCs w:val="24"/>
        </w:rPr>
        <w:t>年</w:t>
      </w:r>
      <w:r>
        <w:rPr>
          <w:rFonts w:ascii="Times New Roman" w:hAnsi="Times New Roman"/>
          <w:kern w:val="0"/>
          <w:sz w:val="24"/>
          <w:szCs w:val="24"/>
        </w:rPr>
        <w:t>10</w:t>
      </w:r>
      <w:r>
        <w:rPr>
          <w:rFonts w:ascii="Times New Roman" w:hAnsi="Times New Roman"/>
          <w:kern w:val="0"/>
          <w:sz w:val="24"/>
          <w:szCs w:val="24"/>
        </w:rPr>
        <w:t>月</w:t>
      </w:r>
      <w:r>
        <w:rPr>
          <w:rFonts w:ascii="Times New Roman" w:hAnsi="Times New Roman" w:hint="eastAsia"/>
          <w:kern w:val="0"/>
          <w:sz w:val="24"/>
          <w:szCs w:val="24"/>
        </w:rPr>
        <w:t>~</w:t>
      </w:r>
      <w:r>
        <w:rPr>
          <w:rFonts w:ascii="Times New Roman" w:hAnsi="Times New Roman"/>
          <w:kern w:val="0"/>
          <w:sz w:val="24"/>
          <w:szCs w:val="24"/>
        </w:rPr>
        <w:t>11</w:t>
      </w:r>
      <w:r>
        <w:rPr>
          <w:rFonts w:ascii="Times New Roman" w:hAnsi="Times New Roman" w:hint="eastAsia"/>
          <w:kern w:val="0"/>
          <w:sz w:val="24"/>
          <w:szCs w:val="24"/>
        </w:rPr>
        <w:t>月</w:t>
      </w:r>
      <w:r>
        <w:rPr>
          <w:rFonts w:ascii="Times New Roman" w:hAnsi="Times New Roman"/>
          <w:kern w:val="0"/>
          <w:sz w:val="24"/>
          <w:szCs w:val="24"/>
        </w:rPr>
        <w:t>，</w:t>
      </w:r>
      <w:r>
        <w:rPr>
          <w:rFonts w:hint="eastAsia"/>
          <w:kern w:val="0"/>
          <w:sz w:val="24"/>
          <w:szCs w:val="24"/>
        </w:rPr>
        <w:t>编制组在南京大学国际会议中心</w:t>
      </w:r>
      <w:r>
        <w:rPr>
          <w:rFonts w:ascii="Times New Roman" w:hAnsi="Times New Roman" w:hint="eastAsia"/>
          <w:kern w:val="0"/>
          <w:sz w:val="24"/>
          <w:szCs w:val="24"/>
        </w:rPr>
        <w:t>召开专家咨询会，参会专家对标准文本（工作组讨论稿）和编制说明提出具体意见和建议。会后，编制组根据专家意见和建议修改完善标准文本和编制说明，形成征求意见稿。</w:t>
      </w:r>
    </w:p>
    <w:p w:rsidR="008E7D53" w:rsidRDefault="0098666E">
      <w:pPr>
        <w:pStyle w:val="1"/>
        <w:spacing w:after="156"/>
        <w:textAlignment w:val="baseline"/>
      </w:pPr>
      <w:bookmarkStart w:id="20" w:name="_Toc33400995"/>
      <w:bookmarkStart w:id="21" w:name="_Toc33400996"/>
      <w:bookmarkStart w:id="22" w:name="_Toc89240943"/>
      <w:bookmarkEnd w:id="20"/>
      <w:bookmarkEnd w:id="21"/>
      <w:r>
        <w:rPr>
          <w:rFonts w:hint="eastAsia"/>
        </w:rPr>
        <w:t>4</w:t>
      </w:r>
      <w:r>
        <w:t xml:space="preserve"> </w:t>
      </w:r>
      <w:r>
        <w:rPr>
          <w:rFonts w:hint="eastAsia"/>
        </w:rPr>
        <w:t>主要内容技术指标确立</w:t>
      </w:r>
      <w:bookmarkEnd w:id="22"/>
    </w:p>
    <w:p w:rsidR="008E7D53" w:rsidRDefault="0098666E">
      <w:pPr>
        <w:pStyle w:val="2"/>
        <w:numPr>
          <w:ilvl w:val="0"/>
          <w:numId w:val="0"/>
        </w:numPr>
        <w:spacing w:after="156"/>
        <w:textAlignment w:val="baseline"/>
      </w:pPr>
      <w:bookmarkStart w:id="23" w:name="_Toc89240944"/>
      <w:r>
        <w:rPr>
          <w:b w:val="0"/>
        </w:rPr>
        <w:t xml:space="preserve">4.1 </w:t>
      </w:r>
      <w:r>
        <w:rPr>
          <w:rFonts w:hint="eastAsia"/>
          <w:b w:val="0"/>
        </w:rPr>
        <w:t>标准结构框架</w:t>
      </w:r>
      <w:bookmarkEnd w:id="23"/>
    </w:p>
    <w:p w:rsidR="008E7D53" w:rsidRDefault="0098666E">
      <w:pPr>
        <w:ind w:firstLine="480"/>
        <w:textAlignment w:val="baseline"/>
        <w:rPr>
          <w:kern w:val="0"/>
          <w:sz w:val="20"/>
          <w:szCs w:val="24"/>
        </w:rPr>
      </w:pPr>
      <w:r>
        <w:rPr>
          <w:rFonts w:hint="eastAsia"/>
          <w:kern w:val="0"/>
          <w:szCs w:val="24"/>
        </w:rPr>
        <w:t>本文件</w:t>
      </w:r>
      <w:r>
        <w:rPr>
          <w:kern w:val="0"/>
          <w:szCs w:val="24"/>
        </w:rPr>
        <w:t>共分为</w:t>
      </w:r>
      <w:r>
        <w:rPr>
          <w:rFonts w:hint="eastAsia"/>
          <w:kern w:val="0"/>
          <w:szCs w:val="24"/>
        </w:rPr>
        <w:t>1</w:t>
      </w:r>
      <w:r>
        <w:rPr>
          <w:kern w:val="0"/>
          <w:szCs w:val="24"/>
        </w:rPr>
        <w:t>0</w:t>
      </w:r>
      <w:r>
        <w:rPr>
          <w:kern w:val="0"/>
          <w:szCs w:val="24"/>
        </w:rPr>
        <w:t>章，</w:t>
      </w:r>
      <w:r>
        <w:rPr>
          <w:rFonts w:hint="eastAsia"/>
          <w:kern w:val="0"/>
          <w:szCs w:val="24"/>
        </w:rPr>
        <w:t>标准结构框架</w:t>
      </w:r>
      <w:r>
        <w:rPr>
          <w:kern w:val="0"/>
          <w:szCs w:val="24"/>
        </w:rPr>
        <w:t>如下：</w:t>
      </w:r>
    </w:p>
    <w:p w:rsidR="008E7D53" w:rsidRDefault="0098666E">
      <w:pPr>
        <w:ind w:firstLine="480"/>
        <w:textAlignment w:val="baseline"/>
        <w:rPr>
          <w:kern w:val="0"/>
          <w:sz w:val="20"/>
          <w:szCs w:val="24"/>
        </w:rPr>
      </w:pPr>
      <w:r>
        <w:rPr>
          <w:rFonts w:hint="eastAsia"/>
          <w:kern w:val="0"/>
          <w:szCs w:val="24"/>
        </w:rPr>
        <w:t>（</w:t>
      </w:r>
      <w:r>
        <w:rPr>
          <w:rFonts w:hint="eastAsia"/>
          <w:kern w:val="0"/>
          <w:szCs w:val="24"/>
        </w:rPr>
        <w:t>1</w:t>
      </w:r>
      <w:r>
        <w:rPr>
          <w:rFonts w:hint="eastAsia"/>
          <w:kern w:val="0"/>
          <w:szCs w:val="24"/>
        </w:rPr>
        <w:t>）</w:t>
      </w:r>
      <w:r>
        <w:rPr>
          <w:kern w:val="0"/>
          <w:szCs w:val="24"/>
        </w:rPr>
        <w:t>范围：明确了本文件的适用范围</w:t>
      </w:r>
      <w:r>
        <w:rPr>
          <w:rFonts w:hint="eastAsia"/>
          <w:kern w:val="0"/>
          <w:szCs w:val="24"/>
        </w:rPr>
        <w:t>。</w:t>
      </w:r>
    </w:p>
    <w:p w:rsidR="008E7D53" w:rsidRDefault="0098666E">
      <w:pPr>
        <w:ind w:firstLine="480"/>
        <w:textAlignment w:val="baseline"/>
        <w:rPr>
          <w:kern w:val="0"/>
          <w:sz w:val="20"/>
          <w:szCs w:val="24"/>
        </w:rPr>
      </w:pPr>
      <w:r>
        <w:rPr>
          <w:rFonts w:hint="eastAsia"/>
          <w:kern w:val="0"/>
          <w:szCs w:val="24"/>
        </w:rPr>
        <w:t>（</w:t>
      </w:r>
      <w:r>
        <w:rPr>
          <w:rFonts w:hint="eastAsia"/>
          <w:kern w:val="0"/>
          <w:szCs w:val="24"/>
        </w:rPr>
        <w:t>2</w:t>
      </w:r>
      <w:r>
        <w:rPr>
          <w:rFonts w:hint="eastAsia"/>
          <w:kern w:val="0"/>
          <w:szCs w:val="24"/>
        </w:rPr>
        <w:t>）</w:t>
      </w:r>
      <w:r>
        <w:rPr>
          <w:kern w:val="0"/>
          <w:szCs w:val="24"/>
        </w:rPr>
        <w:t>规范性引用</w:t>
      </w:r>
      <w:r>
        <w:rPr>
          <w:kern w:val="0"/>
          <w:szCs w:val="24"/>
        </w:rPr>
        <w:t>文件：列出了本文件引用的规范性文件</w:t>
      </w:r>
      <w:r>
        <w:rPr>
          <w:rFonts w:hint="eastAsia"/>
          <w:kern w:val="0"/>
          <w:szCs w:val="24"/>
        </w:rPr>
        <w:t>。</w:t>
      </w:r>
    </w:p>
    <w:p w:rsidR="008E7D53" w:rsidRDefault="0098666E">
      <w:pPr>
        <w:ind w:firstLine="480"/>
        <w:textAlignment w:val="baseline"/>
        <w:rPr>
          <w:kern w:val="0"/>
          <w:sz w:val="20"/>
          <w:szCs w:val="24"/>
        </w:rPr>
      </w:pPr>
      <w:r>
        <w:rPr>
          <w:rFonts w:hint="eastAsia"/>
          <w:kern w:val="0"/>
          <w:szCs w:val="24"/>
        </w:rPr>
        <w:t>（</w:t>
      </w:r>
      <w:r>
        <w:rPr>
          <w:rFonts w:hint="eastAsia"/>
          <w:kern w:val="0"/>
          <w:szCs w:val="24"/>
        </w:rPr>
        <w:t>3</w:t>
      </w:r>
      <w:r>
        <w:rPr>
          <w:rFonts w:hint="eastAsia"/>
          <w:kern w:val="0"/>
          <w:szCs w:val="24"/>
        </w:rPr>
        <w:t>）</w:t>
      </w:r>
      <w:r>
        <w:rPr>
          <w:kern w:val="0"/>
          <w:szCs w:val="24"/>
        </w:rPr>
        <w:t>术语和定义：对本文件中涉及的特殊用词进行了定义</w:t>
      </w:r>
      <w:r>
        <w:rPr>
          <w:rFonts w:hint="eastAsia"/>
          <w:kern w:val="0"/>
          <w:szCs w:val="24"/>
        </w:rPr>
        <w:t>。</w:t>
      </w:r>
    </w:p>
    <w:p w:rsidR="008E7D53" w:rsidRDefault="0098666E">
      <w:pPr>
        <w:ind w:firstLine="480"/>
        <w:textAlignment w:val="baseline"/>
        <w:rPr>
          <w:kern w:val="0"/>
          <w:sz w:val="20"/>
          <w:szCs w:val="24"/>
        </w:rPr>
      </w:pPr>
      <w:r>
        <w:rPr>
          <w:rFonts w:hint="eastAsia"/>
          <w:kern w:val="0"/>
          <w:szCs w:val="24"/>
        </w:rPr>
        <w:lastRenderedPageBreak/>
        <w:t>（</w:t>
      </w:r>
      <w:r>
        <w:rPr>
          <w:rFonts w:hint="eastAsia"/>
          <w:kern w:val="0"/>
          <w:szCs w:val="24"/>
        </w:rPr>
        <w:t>4</w:t>
      </w:r>
      <w:r>
        <w:rPr>
          <w:rFonts w:hint="eastAsia"/>
          <w:kern w:val="0"/>
          <w:szCs w:val="24"/>
        </w:rPr>
        <w:t>）能耗统计范围：规定了污水生物处理系统的能耗统计范围，包括预处理系统、生化</w:t>
      </w:r>
      <w:r>
        <w:rPr>
          <w:rFonts w:hint="eastAsia"/>
          <w:kern w:val="0"/>
          <w:szCs w:val="24"/>
        </w:rPr>
        <w:t>-</w:t>
      </w:r>
      <w:r>
        <w:rPr>
          <w:rFonts w:hint="eastAsia"/>
          <w:kern w:val="0"/>
          <w:szCs w:val="24"/>
        </w:rPr>
        <w:t>回流系统、深度处理系统、消毒系统、配套加药系统、污泥处理系统，不包括再生水处理系统、再生水外供配水系统、污泥运输和处置系统等。</w:t>
      </w:r>
    </w:p>
    <w:p w:rsidR="008E7D53" w:rsidRDefault="0098666E">
      <w:pPr>
        <w:ind w:firstLine="480"/>
        <w:textAlignment w:val="baseline"/>
        <w:rPr>
          <w:kern w:val="0"/>
          <w:sz w:val="20"/>
          <w:szCs w:val="24"/>
        </w:rPr>
      </w:pPr>
      <w:r>
        <w:rPr>
          <w:rFonts w:hint="eastAsia"/>
          <w:kern w:val="0"/>
          <w:szCs w:val="24"/>
        </w:rPr>
        <w:t>（</w:t>
      </w:r>
      <w:r>
        <w:rPr>
          <w:rFonts w:hint="eastAsia"/>
          <w:kern w:val="0"/>
          <w:szCs w:val="24"/>
        </w:rPr>
        <w:t>5</w:t>
      </w:r>
      <w:r>
        <w:rPr>
          <w:rFonts w:hint="eastAsia"/>
          <w:kern w:val="0"/>
          <w:szCs w:val="24"/>
        </w:rPr>
        <w:t>）能耗评价指标：规定了每千克总污染物去除电耗作为能耗评价指标，并明确了总污染物包括的污染物指标。</w:t>
      </w:r>
    </w:p>
    <w:p w:rsidR="008E7D53" w:rsidRDefault="0098666E">
      <w:pPr>
        <w:ind w:firstLine="480"/>
        <w:textAlignment w:val="baseline"/>
        <w:rPr>
          <w:kern w:val="0"/>
          <w:sz w:val="20"/>
          <w:szCs w:val="24"/>
        </w:rPr>
      </w:pPr>
      <w:r>
        <w:rPr>
          <w:rFonts w:hint="eastAsia"/>
          <w:kern w:val="0"/>
          <w:szCs w:val="24"/>
        </w:rPr>
        <w:t>（</w:t>
      </w:r>
      <w:r>
        <w:rPr>
          <w:kern w:val="0"/>
          <w:szCs w:val="24"/>
        </w:rPr>
        <w:t>6</w:t>
      </w:r>
      <w:r>
        <w:rPr>
          <w:rFonts w:hint="eastAsia"/>
          <w:kern w:val="0"/>
          <w:szCs w:val="24"/>
        </w:rPr>
        <w:t>）能耗计算方法</w:t>
      </w:r>
      <w:r>
        <w:rPr>
          <w:kern w:val="0"/>
          <w:szCs w:val="24"/>
        </w:rPr>
        <w:t>：</w:t>
      </w:r>
      <w:r>
        <w:rPr>
          <w:rFonts w:hint="eastAsia"/>
          <w:kern w:val="0"/>
          <w:szCs w:val="24"/>
        </w:rPr>
        <w:t>提供能耗评价指标的计算方法、规定了能耗计算中电耗数据和水质指标数据的来源。</w:t>
      </w:r>
    </w:p>
    <w:p w:rsidR="008E7D53" w:rsidRDefault="0098666E">
      <w:pPr>
        <w:ind w:firstLine="480"/>
        <w:textAlignment w:val="baseline"/>
        <w:rPr>
          <w:kern w:val="0"/>
          <w:sz w:val="20"/>
          <w:szCs w:val="24"/>
        </w:rPr>
      </w:pPr>
      <w:r>
        <w:rPr>
          <w:rFonts w:hint="eastAsia"/>
          <w:kern w:val="0"/>
          <w:szCs w:val="24"/>
        </w:rPr>
        <w:t>（</w:t>
      </w:r>
      <w:r>
        <w:rPr>
          <w:kern w:val="0"/>
          <w:szCs w:val="24"/>
        </w:rPr>
        <w:t>7</w:t>
      </w:r>
      <w:r>
        <w:rPr>
          <w:rFonts w:hint="eastAsia"/>
          <w:kern w:val="0"/>
          <w:szCs w:val="24"/>
        </w:rPr>
        <w:t>）能耗限</w:t>
      </w:r>
      <w:r>
        <w:rPr>
          <w:rFonts w:hint="eastAsia"/>
          <w:kern w:val="0"/>
          <w:szCs w:val="24"/>
        </w:rPr>
        <w:t>额要求：根据对江苏省</w:t>
      </w:r>
      <w:r>
        <w:rPr>
          <w:rFonts w:hint="eastAsia"/>
          <w:kern w:val="0"/>
          <w:szCs w:val="24"/>
        </w:rPr>
        <w:t>1</w:t>
      </w:r>
      <w:r>
        <w:rPr>
          <w:kern w:val="0"/>
          <w:szCs w:val="24"/>
        </w:rPr>
        <w:t>3</w:t>
      </w:r>
      <w:r>
        <w:rPr>
          <w:rFonts w:hint="eastAsia"/>
          <w:kern w:val="0"/>
          <w:szCs w:val="24"/>
        </w:rPr>
        <w:t>个区市</w:t>
      </w:r>
      <w:r>
        <w:rPr>
          <w:kern w:val="0"/>
          <w:szCs w:val="24"/>
        </w:rPr>
        <w:t>822</w:t>
      </w:r>
      <w:r>
        <w:rPr>
          <w:rFonts w:hint="eastAsia"/>
          <w:kern w:val="0"/>
          <w:szCs w:val="24"/>
        </w:rPr>
        <w:t>家城镇污水处理厂的调研结果，按城镇污水处理厂采用的生物处理工艺类型和设计处理规模设定能耗限定值和能耗先进值。</w:t>
      </w:r>
    </w:p>
    <w:p w:rsidR="008E7D53" w:rsidRDefault="0098666E">
      <w:pPr>
        <w:ind w:firstLine="480"/>
        <w:textAlignment w:val="baseline"/>
        <w:rPr>
          <w:kern w:val="0"/>
          <w:sz w:val="20"/>
          <w:szCs w:val="24"/>
        </w:rPr>
      </w:pPr>
      <w:r>
        <w:rPr>
          <w:rFonts w:hint="eastAsia"/>
          <w:kern w:val="0"/>
          <w:szCs w:val="24"/>
        </w:rPr>
        <w:t>（</w:t>
      </w:r>
      <w:r>
        <w:rPr>
          <w:kern w:val="0"/>
          <w:szCs w:val="24"/>
        </w:rPr>
        <w:t>8</w:t>
      </w:r>
      <w:r>
        <w:rPr>
          <w:rFonts w:hint="eastAsia"/>
          <w:kern w:val="0"/>
          <w:szCs w:val="24"/>
        </w:rPr>
        <w:t>）能效评价</w:t>
      </w:r>
      <w:r>
        <w:rPr>
          <w:kern w:val="0"/>
          <w:szCs w:val="24"/>
        </w:rPr>
        <w:t>：</w:t>
      </w:r>
      <w:r>
        <w:rPr>
          <w:rFonts w:hint="eastAsia"/>
          <w:kern w:val="0"/>
          <w:szCs w:val="24"/>
        </w:rPr>
        <w:t>规定了不同能耗值对应的能效评价结果，并给出污水生物处理系统能效评价表。</w:t>
      </w:r>
    </w:p>
    <w:p w:rsidR="008E7D53" w:rsidRDefault="0098666E">
      <w:pPr>
        <w:ind w:firstLine="480"/>
        <w:textAlignment w:val="baseline"/>
        <w:rPr>
          <w:kern w:val="0"/>
          <w:sz w:val="20"/>
          <w:szCs w:val="24"/>
        </w:rPr>
      </w:pPr>
      <w:r>
        <w:rPr>
          <w:rFonts w:hint="eastAsia"/>
          <w:kern w:val="0"/>
          <w:szCs w:val="24"/>
        </w:rPr>
        <w:t>（</w:t>
      </w:r>
      <w:r>
        <w:rPr>
          <w:kern w:val="0"/>
          <w:szCs w:val="24"/>
        </w:rPr>
        <w:t>9</w:t>
      </w:r>
      <w:r>
        <w:rPr>
          <w:rFonts w:hint="eastAsia"/>
          <w:kern w:val="0"/>
          <w:szCs w:val="24"/>
        </w:rPr>
        <w:t>）节能管理与措施</w:t>
      </w:r>
      <w:r>
        <w:rPr>
          <w:kern w:val="0"/>
          <w:szCs w:val="24"/>
        </w:rPr>
        <w:t>：</w:t>
      </w:r>
      <w:r>
        <w:rPr>
          <w:rFonts w:hint="eastAsia"/>
          <w:kern w:val="0"/>
          <w:szCs w:val="24"/>
        </w:rPr>
        <w:t>对城镇污水处理厂的节能管理与节能技术措施进行了规定。</w:t>
      </w:r>
    </w:p>
    <w:p w:rsidR="008E7D53" w:rsidRDefault="0098666E">
      <w:pPr>
        <w:ind w:firstLine="480"/>
        <w:textAlignment w:val="baseline"/>
      </w:pPr>
      <w:r>
        <w:rPr>
          <w:rFonts w:hint="eastAsia"/>
          <w:kern w:val="0"/>
          <w:szCs w:val="24"/>
        </w:rPr>
        <w:t>（</w:t>
      </w:r>
      <w:r>
        <w:rPr>
          <w:kern w:val="0"/>
          <w:szCs w:val="24"/>
        </w:rPr>
        <w:t>10</w:t>
      </w:r>
      <w:r>
        <w:rPr>
          <w:rFonts w:hint="eastAsia"/>
          <w:kern w:val="0"/>
          <w:szCs w:val="24"/>
        </w:rPr>
        <w:t>）其他说明：对参与能效评价的城镇污水处理厂的污泥脱水率和运行负荷率进行了规定及说明。</w:t>
      </w:r>
    </w:p>
    <w:p w:rsidR="008E7D53" w:rsidRDefault="0098666E">
      <w:pPr>
        <w:pStyle w:val="2"/>
        <w:numPr>
          <w:ilvl w:val="0"/>
          <w:numId w:val="0"/>
        </w:numPr>
        <w:spacing w:after="156"/>
        <w:jc w:val="both"/>
        <w:textAlignment w:val="baseline"/>
        <w:rPr>
          <w:b w:val="0"/>
        </w:rPr>
      </w:pPr>
      <w:bookmarkStart w:id="24" w:name="_Toc89240945"/>
      <w:r>
        <w:rPr>
          <w:b w:val="0"/>
        </w:rPr>
        <w:t xml:space="preserve">4.2 </w:t>
      </w:r>
      <w:r>
        <w:rPr>
          <w:rFonts w:hint="eastAsia"/>
          <w:b w:val="0"/>
        </w:rPr>
        <w:t>标准性质和适用范围</w:t>
      </w:r>
      <w:bookmarkEnd w:id="24"/>
    </w:p>
    <w:p w:rsidR="008E7D53" w:rsidRDefault="0098666E">
      <w:pPr>
        <w:ind w:firstLine="480"/>
        <w:textAlignment w:val="baseline"/>
        <w:rPr>
          <w:sz w:val="20"/>
        </w:rPr>
      </w:pPr>
      <w:r>
        <w:rPr>
          <w:rFonts w:hint="eastAsia"/>
        </w:rPr>
        <w:t>本文件为推荐性地方标准，目的是建立统一的能耗指标，反映各城镇污水处理厂的能耗，综合评估城镇污水处理厂的能耗水平，进而便于不同污水生物处理工艺间的横向比较、深入的能耗分析、节能潜力的识别以及能耗管理水平的提升。</w:t>
      </w:r>
    </w:p>
    <w:p w:rsidR="008E7D53" w:rsidRDefault="0098666E">
      <w:pPr>
        <w:ind w:firstLine="480"/>
        <w:textAlignment w:val="baseline"/>
        <w:rPr>
          <w:sz w:val="20"/>
        </w:rPr>
      </w:pPr>
      <w:r>
        <w:rPr>
          <w:rFonts w:hint="eastAsia"/>
        </w:rPr>
        <w:t>（</w:t>
      </w:r>
      <w:r>
        <w:t>1</w:t>
      </w:r>
      <w:r>
        <w:rPr>
          <w:rFonts w:hint="eastAsia"/>
        </w:rPr>
        <w:t>）本文件规定了污水生物处理系统的能耗统计范围、能耗评价指标、能耗计算方法、能耗限额要求、能效评价以及节能管理与措施。</w:t>
      </w:r>
    </w:p>
    <w:p w:rsidR="008E7D53" w:rsidRDefault="0098666E">
      <w:pPr>
        <w:ind w:firstLine="480"/>
        <w:textAlignment w:val="baseline"/>
        <w:rPr>
          <w:sz w:val="20"/>
        </w:rPr>
      </w:pPr>
      <w:r>
        <w:rPr>
          <w:rFonts w:hint="eastAsia"/>
        </w:rPr>
        <w:t>（</w:t>
      </w:r>
      <w:r>
        <w:rPr>
          <w:rFonts w:hint="eastAsia"/>
        </w:rPr>
        <w:t>2</w:t>
      </w:r>
      <w:r>
        <w:rPr>
          <w:rFonts w:hint="eastAsia"/>
        </w:rPr>
        <w:t>）本文件适用于以生物处理为主体工艺的城镇污水处理厂能源消耗的计算、管理、评价和监督。</w:t>
      </w:r>
    </w:p>
    <w:p w:rsidR="008E7D53" w:rsidRDefault="0098666E">
      <w:pPr>
        <w:ind w:firstLine="480"/>
        <w:textAlignment w:val="baseline"/>
        <w:rPr>
          <w:sz w:val="20"/>
        </w:rPr>
      </w:pPr>
      <w:r>
        <w:rPr>
          <w:rFonts w:hint="eastAsia"/>
        </w:rPr>
        <w:t>从污水处理厂运行实际以及任福民等人的相关研究表明，污水处理厂能耗与实际进出水水质以及进水类</w:t>
      </w:r>
      <w:r>
        <w:rPr>
          <w:rFonts w:hint="eastAsia"/>
        </w:rPr>
        <w:t>型有关，在相同工艺和规模下，污水处理厂能耗因接纳的工业废水比例和类型不同、出水排放标准不同而存在差异。一般而言，若接纳废水存在较多难降解有机物，则额外增加曝气等方式将导致增加能耗</w:t>
      </w:r>
      <w:r>
        <w:rPr>
          <w:rFonts w:hint="eastAsia"/>
        </w:rPr>
        <w:t>；</w:t>
      </w:r>
      <w:r>
        <w:rPr>
          <w:rFonts w:hint="eastAsia"/>
        </w:rPr>
        <w:t>随着排放限值降低</w:t>
      </w:r>
      <w:r>
        <w:rPr>
          <w:rFonts w:hint="eastAsia"/>
        </w:rPr>
        <w:t>，</w:t>
      </w:r>
      <w:r>
        <w:rPr>
          <w:rFonts w:hint="eastAsia"/>
        </w:rPr>
        <w:t>能耗也存在一定程度的增加。因此，为使得参与能耗评价的污水处</w:t>
      </w:r>
      <w:r>
        <w:rPr>
          <w:rFonts w:hint="eastAsia"/>
        </w:rPr>
        <w:lastRenderedPageBreak/>
        <w:t>理厂更具有可比性，该条款：</w:t>
      </w:r>
    </w:p>
    <w:p w:rsidR="008E7D53" w:rsidRDefault="0098666E">
      <w:pPr>
        <w:ind w:firstLine="480"/>
        <w:textAlignment w:val="baseline"/>
        <w:rPr>
          <w:sz w:val="20"/>
        </w:rPr>
      </w:pPr>
      <w:r>
        <w:rPr>
          <w:rFonts w:hint="eastAsia"/>
        </w:rPr>
        <w:t>一是限定了污水处理主体工艺为生物处理工艺。一方面，根据全国投运城镇污水处理设施清单统计的污水处理工艺（见图</w:t>
      </w:r>
      <w:r>
        <w:t>4-6</w:t>
      </w:r>
      <w:r>
        <w:rPr>
          <w:rFonts w:hint="eastAsia"/>
        </w:rPr>
        <w:t>）分析，其前十主流工艺均为生物处理法，并且全国第二次污染普查数据和调研问卷也显示江苏省的主要污水处理工艺均为生物处理</w:t>
      </w:r>
      <w:r>
        <w:rPr>
          <w:rFonts w:hint="eastAsia"/>
        </w:rPr>
        <w:t>法。根据污水处理厂实际情况和焦煜涵等人的研究表明，污水处理厂中每个处理单元都消耗能源，能耗最大的处理单元为生化处理单元，占总耗电量的比例超过</w:t>
      </w:r>
      <w:r>
        <w:rPr>
          <w:rFonts w:hint="eastAsia"/>
        </w:rPr>
        <w:t>5</w:t>
      </w:r>
      <w:r>
        <w:t>0%</w:t>
      </w:r>
      <w:r>
        <w:rPr>
          <w:rFonts w:hint="eastAsia"/>
        </w:rPr>
        <w:t>，其次是预处理单元，产生能耗最小的处理单元是污泥处理单元；并且对于城镇污水处理厂处理工艺而言，物化处理和生化处理是最主要的，为提高本文本的适用性范围和准确性，编制组考虑以生物处理为主体</w:t>
      </w:r>
      <w:r>
        <w:rPr>
          <w:rFonts w:hint="eastAsia"/>
        </w:rPr>
        <w:t>工艺</w:t>
      </w:r>
      <w:r>
        <w:rPr>
          <w:rFonts w:hint="eastAsia"/>
        </w:rPr>
        <w:t>的污水处理厂。</w:t>
      </w:r>
    </w:p>
    <w:p w:rsidR="008E7D53" w:rsidRDefault="0098666E">
      <w:pPr>
        <w:ind w:firstLine="480"/>
        <w:textAlignment w:val="baseline"/>
        <w:rPr>
          <w:sz w:val="20"/>
        </w:rPr>
      </w:pPr>
      <w:r>
        <w:rPr>
          <w:rFonts w:hint="eastAsia"/>
        </w:rPr>
        <w:t>二是限定了污水处理厂类型为城镇污水处理厂。根据污水来源和组成等，污水处理厂大致可以分为工业废水处理厂、城镇污水处理厂和农村生活污水集中处理设施。三种类别的污水处理</w:t>
      </w:r>
      <w:r>
        <w:rPr>
          <w:rFonts w:hint="eastAsia"/>
        </w:rPr>
        <w:t>厂在污染物控制项目、执行的进出水标准、接纳污水类型比例和数量上都存在很大的差异。相对于工业废水处理厂和农村生活污水集中处理设施，江苏省城镇污水处理厂在数量和处理规模上都大于前两者。如图</w:t>
      </w:r>
      <w:r>
        <w:t>4-1</w:t>
      </w:r>
      <w:r>
        <w:rPr>
          <w:rFonts w:hint="eastAsia"/>
        </w:rPr>
        <w:t>、图</w:t>
      </w:r>
      <w:r>
        <w:t>4-2</w:t>
      </w:r>
      <w:r>
        <w:rPr>
          <w:rFonts w:hint="eastAsia"/>
        </w:rPr>
        <w:t>所示，江苏省污水排放量和污水处理能力逐年增加，并且排放量近年来增长快速，城镇污水处理厂作为水污染物集中治理单位，在国家污染物减排战略中占有非常重要的地位，城镇污水处理厂的能耗评价不容忽视。</w:t>
      </w:r>
    </w:p>
    <w:p w:rsidR="008E7D53" w:rsidRDefault="0098666E">
      <w:pPr>
        <w:ind w:firstLine="480"/>
        <w:jc w:val="center"/>
        <w:textAlignment w:val="baseline"/>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2882265</wp:posOffset>
                </wp:positionH>
                <wp:positionV relativeFrom="paragraph">
                  <wp:posOffset>621665</wp:posOffset>
                </wp:positionV>
                <wp:extent cx="159385" cy="1256030"/>
                <wp:effectExtent l="0" t="262255" r="0" b="245110"/>
                <wp:wrapNone/>
                <wp:docPr id="11" name="箭头: 下 2"/>
                <wp:cNvGraphicFramePr/>
                <a:graphic xmlns:a="http://schemas.openxmlformats.org/drawingml/2006/main">
                  <a:graphicData uri="http://schemas.microsoft.com/office/word/2010/wordprocessingShape">
                    <wps:wsp>
                      <wps:cNvSpPr/>
                      <wps:spPr bwMode="auto">
                        <a:xfrm rot="3838533" flipH="1" flipV="1">
                          <a:off x="0" y="0"/>
                          <a:ext cx="159621" cy="1256000"/>
                        </a:xfrm>
                        <a:prstGeom prst="downArrow">
                          <a:avLst>
                            <a:gd name="adj1" fmla="val 40052"/>
                            <a:gd name="adj2" fmla="val 50000"/>
                          </a:avLst>
                        </a:prstGeom>
                        <a:solidFill>
                          <a:srgbClr val="FFFF00"/>
                        </a:solidFill>
                        <a:ln w="9525" cap="flat" cmpd="sng" algn="ctr">
                          <a:solidFill>
                            <a:schemeClr val="tx1"/>
                          </a:solidFill>
                          <a:prstDash val="solid"/>
                          <a:round/>
                          <a:headEnd type="none" w="med" len="med"/>
                          <a:tailEnd type="none" w="med" len="med"/>
                        </a:ln>
                      </wps:spPr>
                      <wps:bodyPr vert="horz" wrap="none" lIns="91440" tIns="45720" rIns="91440" bIns="45720" numCol="1" rtlCol="0" anchor="ctr" anchorCtr="0" compatLnSpc="1"/>
                    </wps:wsp>
                  </a:graphicData>
                </a:graphic>
              </wp:anchor>
            </w:drawing>
          </mc:Choice>
          <mc:Fallback xmlns:wpsCustomData="http://www.wps.cn/officeDocument/2013/wpsCustomData">
            <w:pict>
              <v:shape id="箭头: 下 2" o:spid="_x0000_s1026" o:spt="67" type="#_x0000_t67" style="position:absolute;left:0pt;flip:x y;margin-left:226.95pt;margin-top:48.95pt;height:98.9pt;width:12.55pt;mso-wrap-style:none;rotation:4192702f;z-index:251659264;v-text-anchor:middle;mso-width-relative:page;mso-height-relative:page;" fillcolor="#FFFF00" filled="t" stroked="t" coordsize="21600,21600" o:gfxdata="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UIWRDXAAAACgEA&#10;AA8AAAAAAAAAAQAgAAAAIgAAAGRycy9kb3ducmV2LnhtbFBLAQIUABQAAAAIAIdO4kAb2xHvjQIA&#10;ADYFAAAOAAAAAAAAAAEAIAAAACYBAABkcnMvZTJvRG9jLnhtbFBLBQYAAAAABgAGAFkBAAAlBgAA&#10;AAA=&#10;" adj="20228,6474">
                <v:fill on="t" focussize="0,0"/>
                <v:stroke color="#000000 [3213]" joinstyle="round"/>
                <v:imagedata o:title=""/>
                <o:lock v:ext="edit" aspectratio="f"/>
              </v:shape>
            </w:pict>
          </mc:Fallback>
        </mc:AlternateContent>
      </w:r>
      <w:r>
        <w:rPr>
          <w:noProof/>
        </w:rPr>
        <w:drawing>
          <wp:inline distT="0" distB="0" distL="0" distR="0">
            <wp:extent cx="2622550" cy="1983740"/>
            <wp:effectExtent l="19050" t="19050" r="25400" b="1651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22550" cy="1984123"/>
                    </a:xfrm>
                    <a:prstGeom prst="rect">
                      <a:avLst/>
                    </a:prstGeom>
                    <a:ln>
                      <a:solidFill>
                        <a:schemeClr val="tx1"/>
                      </a:solidFill>
                    </a:ln>
                  </pic:spPr>
                </pic:pic>
              </a:graphicData>
            </a:graphic>
          </wp:inline>
        </w:drawing>
      </w:r>
    </w:p>
    <w:p w:rsidR="008E7D53" w:rsidRDefault="0098666E">
      <w:pPr>
        <w:ind w:firstLine="420"/>
        <w:jc w:val="center"/>
        <w:textAlignment w:val="baseline"/>
        <w:rPr>
          <w:sz w:val="16"/>
        </w:rPr>
      </w:pPr>
      <w:r>
        <w:rPr>
          <w:rFonts w:hint="eastAsia"/>
          <w:sz w:val="21"/>
        </w:rPr>
        <w:t>图</w:t>
      </w:r>
      <w:r>
        <w:rPr>
          <w:sz w:val="21"/>
        </w:rPr>
        <w:t xml:space="preserve">4-1 </w:t>
      </w:r>
      <w:r>
        <w:rPr>
          <w:rFonts w:hint="eastAsia"/>
          <w:sz w:val="21"/>
        </w:rPr>
        <w:t>江苏省污水排放量情况</w:t>
      </w:r>
    </w:p>
    <w:p w:rsidR="008E7D53" w:rsidRDefault="0098666E">
      <w:pPr>
        <w:ind w:firstLine="480"/>
        <w:jc w:val="center"/>
        <w:textAlignment w:val="baseline"/>
        <w:rPr>
          <w:sz w:val="20"/>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2966720</wp:posOffset>
                </wp:positionH>
                <wp:positionV relativeFrom="paragraph">
                  <wp:posOffset>161290</wp:posOffset>
                </wp:positionV>
                <wp:extent cx="159385" cy="1256030"/>
                <wp:effectExtent l="23495" t="128905" r="0" b="92710"/>
                <wp:wrapNone/>
                <wp:docPr id="20" name="箭头: 下 15"/>
                <wp:cNvGraphicFramePr/>
                <a:graphic xmlns:a="http://schemas.openxmlformats.org/drawingml/2006/main">
                  <a:graphicData uri="http://schemas.microsoft.com/office/word/2010/wordprocessingShape">
                    <wps:wsp>
                      <wps:cNvSpPr/>
                      <wps:spPr bwMode="auto">
                        <a:xfrm rot="4729157" flipH="1" flipV="1">
                          <a:off x="0" y="0"/>
                          <a:ext cx="159621" cy="1256000"/>
                        </a:xfrm>
                        <a:prstGeom prst="downArrow">
                          <a:avLst>
                            <a:gd name="adj1" fmla="val 40052"/>
                            <a:gd name="adj2" fmla="val 50000"/>
                          </a:avLst>
                        </a:prstGeom>
                        <a:solidFill>
                          <a:srgbClr val="FFFF00"/>
                        </a:solidFill>
                        <a:ln w="9525" cap="flat" cmpd="sng" algn="ctr">
                          <a:solidFill>
                            <a:schemeClr val="tx1"/>
                          </a:solidFill>
                          <a:prstDash val="solid"/>
                          <a:round/>
                          <a:headEnd type="none" w="med" len="med"/>
                          <a:tailEnd type="none" w="med" len="med"/>
                        </a:ln>
                      </wps:spPr>
                      <wps:bodyPr vert="horz" wrap="none" lIns="91440" tIns="45720" rIns="91440" bIns="45720" numCol="1" rtlCol="0" anchor="ctr" anchorCtr="0" compatLnSpc="1"/>
                    </wps:wsp>
                  </a:graphicData>
                </a:graphic>
              </wp:anchor>
            </w:drawing>
          </mc:Choice>
          <mc:Fallback xmlns:wpsCustomData="http://www.wps.cn/officeDocument/2013/wpsCustomData">
            <w:pict>
              <v:shape id="箭头: 下 15" o:spid="_x0000_s1026" o:spt="67" type="#_x0000_t67" style="position:absolute;left:0pt;flip:x y;margin-left:233.6pt;margin-top:12.7pt;height:98.9pt;width:12.55pt;mso-wrap-style:none;rotation:5165501f;z-index:251660288;v-text-anchor:middle;mso-width-relative:page;mso-height-relative:page;" fillcolor="#FFFF00" filled="t" stroked="t" coordsize="21600,21600" o:gfxdata="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UlYJLZAAAACgEA&#10;AA8AAAAAAAAAAQAgAAAAIgAAAGRycy9kb3ducmV2LnhtbFBLAQIUABQAAAAIAIdO4kCQNLUaiwIA&#10;ADcFAAAOAAAAAAAAAAEAIAAAACgBAABkcnMvZTJvRG9jLnhtbFBLBQYAAAAABgAGAFkBAAAlBgAA&#10;AAA=&#10;" adj="20228,6474">
                <v:fill on="t" focussize="0,0"/>
                <v:stroke color="#000000 [3213]" joinstyle="round"/>
                <v:imagedata o:title=""/>
                <o:lock v:ext="edit" aspectratio="f"/>
              </v:shape>
            </w:pict>
          </mc:Fallback>
        </mc:AlternateContent>
      </w:r>
      <w:r>
        <w:rPr>
          <w:noProof/>
        </w:rPr>
        <w:drawing>
          <wp:inline distT="0" distB="0" distL="0" distR="0">
            <wp:extent cx="2576830" cy="1950085"/>
            <wp:effectExtent l="19050" t="19050" r="13970" b="12065"/>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576830" cy="1950547"/>
                    </a:xfrm>
                    <a:prstGeom prst="rect">
                      <a:avLst/>
                    </a:prstGeom>
                    <a:ln>
                      <a:solidFill>
                        <a:schemeClr val="tx1"/>
                      </a:solidFill>
                    </a:ln>
                  </pic:spPr>
                </pic:pic>
              </a:graphicData>
            </a:graphic>
          </wp:inline>
        </w:drawing>
      </w:r>
    </w:p>
    <w:p w:rsidR="008E7D53" w:rsidRDefault="0098666E">
      <w:pPr>
        <w:ind w:firstLine="420"/>
        <w:jc w:val="center"/>
        <w:textAlignment w:val="baseline"/>
        <w:rPr>
          <w:sz w:val="16"/>
        </w:rPr>
      </w:pPr>
      <w:r>
        <w:rPr>
          <w:rFonts w:hint="eastAsia"/>
          <w:sz w:val="21"/>
        </w:rPr>
        <w:t>图</w:t>
      </w:r>
      <w:r>
        <w:rPr>
          <w:sz w:val="21"/>
        </w:rPr>
        <w:t xml:space="preserve">4-2 </w:t>
      </w:r>
      <w:r>
        <w:rPr>
          <w:rFonts w:hint="eastAsia"/>
          <w:sz w:val="21"/>
        </w:rPr>
        <w:t>江苏省污水处理能力情况</w:t>
      </w:r>
    </w:p>
    <w:p w:rsidR="008E7D53" w:rsidRDefault="0098666E">
      <w:pPr>
        <w:pStyle w:val="2"/>
        <w:numPr>
          <w:ilvl w:val="0"/>
          <w:numId w:val="0"/>
        </w:numPr>
        <w:spacing w:after="156"/>
        <w:jc w:val="both"/>
        <w:textAlignment w:val="baseline"/>
        <w:rPr>
          <w:b w:val="0"/>
        </w:rPr>
      </w:pPr>
      <w:bookmarkStart w:id="25" w:name="_Toc89240946"/>
      <w:r>
        <w:rPr>
          <w:b w:val="0"/>
        </w:rPr>
        <w:t xml:space="preserve">4.3 </w:t>
      </w:r>
      <w:r>
        <w:rPr>
          <w:rFonts w:hint="eastAsia"/>
          <w:b w:val="0"/>
        </w:rPr>
        <w:t>规范性引用文件</w:t>
      </w:r>
      <w:bookmarkEnd w:id="25"/>
    </w:p>
    <w:p w:rsidR="008E7D53" w:rsidRDefault="0098666E">
      <w:pPr>
        <w:ind w:firstLine="480"/>
        <w:textAlignment w:val="baseline"/>
        <w:rPr>
          <w:sz w:val="20"/>
        </w:rPr>
      </w:pPr>
      <w:r>
        <w:rPr>
          <w:rFonts w:hint="eastAsia"/>
        </w:rPr>
        <w:t>本条列出了本文件中引</w:t>
      </w:r>
      <w:r>
        <w:rPr>
          <w:rFonts w:hint="eastAsia"/>
        </w:rPr>
        <w:t>用的应符合的相关标准。</w:t>
      </w:r>
    </w:p>
    <w:p w:rsidR="008E7D53" w:rsidRDefault="0098666E">
      <w:pPr>
        <w:pStyle w:val="2"/>
        <w:numPr>
          <w:ilvl w:val="0"/>
          <w:numId w:val="0"/>
        </w:numPr>
        <w:spacing w:after="156"/>
        <w:jc w:val="both"/>
        <w:textAlignment w:val="baseline"/>
        <w:rPr>
          <w:b w:val="0"/>
        </w:rPr>
      </w:pPr>
      <w:bookmarkStart w:id="26" w:name="_Toc89240947"/>
      <w:r>
        <w:rPr>
          <w:b w:val="0"/>
        </w:rPr>
        <w:t xml:space="preserve">4.4 </w:t>
      </w:r>
      <w:r>
        <w:rPr>
          <w:rFonts w:hint="eastAsia"/>
          <w:b w:val="0"/>
        </w:rPr>
        <w:t>术语和定义</w:t>
      </w:r>
      <w:bookmarkEnd w:id="26"/>
    </w:p>
    <w:p w:rsidR="008E7D53" w:rsidRDefault="0098666E">
      <w:pPr>
        <w:ind w:firstLine="480"/>
        <w:textAlignment w:val="baseline"/>
        <w:rPr>
          <w:sz w:val="20"/>
        </w:rPr>
      </w:pPr>
      <w:r>
        <w:t>本条说明了适用于本文件的术语和定义</w:t>
      </w:r>
      <w:r>
        <w:rPr>
          <w:rFonts w:hint="eastAsia"/>
        </w:rPr>
        <w:t>。除</w:t>
      </w:r>
      <w:r>
        <w:t>HJ 2016</w:t>
      </w:r>
      <w:r>
        <w:t>界定的术语和定义适用于本文件</w:t>
      </w:r>
      <w:r>
        <w:rPr>
          <w:rFonts w:hint="eastAsia"/>
        </w:rPr>
        <w:t>外，其他术语和定义的确定</w:t>
      </w:r>
      <w:r>
        <w:t>依据</w:t>
      </w:r>
      <w:r>
        <w:rPr>
          <w:rFonts w:hint="eastAsia"/>
        </w:rPr>
        <w:t>如下：</w:t>
      </w:r>
    </w:p>
    <w:p w:rsidR="008E7D53" w:rsidRDefault="0098666E">
      <w:pPr>
        <w:ind w:firstLine="480"/>
        <w:textAlignment w:val="baseline"/>
        <w:rPr>
          <w:sz w:val="20"/>
        </w:rPr>
      </w:pPr>
      <w:r>
        <w:rPr>
          <w:rFonts w:hint="eastAsia"/>
        </w:rPr>
        <w:t>（</w:t>
      </w:r>
      <w:r>
        <w:rPr>
          <w:rFonts w:hint="eastAsia"/>
        </w:rPr>
        <w:t>1</w:t>
      </w:r>
      <w:r>
        <w:rPr>
          <w:rFonts w:hint="eastAsia"/>
        </w:rPr>
        <w:t>）城镇污水处理厂，</w:t>
      </w:r>
      <w:r>
        <w:rPr>
          <w:rFonts w:hint="eastAsia"/>
        </w:rPr>
        <w:t>municipal wastewater treatment plant</w:t>
      </w:r>
      <w:r>
        <w:rPr>
          <w:rFonts w:hint="eastAsia"/>
        </w:rPr>
        <w:t>：直接引用《城镇污水处理厂污染物排放标准》（</w:t>
      </w:r>
      <w:bookmarkStart w:id="27" w:name="_Hlk47103850"/>
      <w:r>
        <w:t>GB 18918</w:t>
      </w:r>
      <w:bookmarkEnd w:id="27"/>
      <w:r>
        <w:rPr>
          <w:rFonts w:hint="eastAsia"/>
        </w:rPr>
        <w:t>-</w:t>
      </w:r>
      <w:r>
        <w:t>2002</w:t>
      </w:r>
      <w:r>
        <w:rPr>
          <w:rFonts w:hint="eastAsia"/>
        </w:rPr>
        <w:t>）</w:t>
      </w:r>
      <w:r>
        <w:t>3.2</w:t>
      </w:r>
      <w:r>
        <w:rPr>
          <w:rFonts w:hint="eastAsia"/>
        </w:rPr>
        <w:t>条，将“城镇污水处理厂”定义为“</w:t>
      </w:r>
      <w:bookmarkStart w:id="28" w:name="_Hlk47103585"/>
      <w:r>
        <w:rPr>
          <w:rFonts w:hint="eastAsia"/>
        </w:rPr>
        <w:t>对进入城镇污水收集系统的污水进行净化处理的污水处理厂</w:t>
      </w:r>
      <w:bookmarkEnd w:id="28"/>
      <w:r>
        <w:rPr>
          <w:rFonts w:hint="eastAsia"/>
        </w:rPr>
        <w:t>”。</w:t>
      </w:r>
    </w:p>
    <w:p w:rsidR="008E7D53" w:rsidRDefault="0098666E">
      <w:pPr>
        <w:ind w:firstLine="480"/>
        <w:textAlignment w:val="baseline"/>
        <w:rPr>
          <w:sz w:val="20"/>
        </w:rPr>
      </w:pPr>
      <w:r>
        <w:rPr>
          <w:rFonts w:hint="eastAsia"/>
        </w:rPr>
        <w:t>（</w:t>
      </w:r>
      <w:r>
        <w:rPr>
          <w:rFonts w:hint="eastAsia"/>
        </w:rPr>
        <w:t>2</w:t>
      </w:r>
      <w:r>
        <w:rPr>
          <w:rFonts w:hint="eastAsia"/>
        </w:rPr>
        <w:t>）能耗，</w:t>
      </w:r>
      <w:r>
        <w:rPr>
          <w:rFonts w:hint="eastAsia"/>
        </w:rPr>
        <w:t>e</w:t>
      </w:r>
      <w:r>
        <w:t>nerg</w:t>
      </w:r>
      <w:r>
        <w:rPr>
          <w:rFonts w:hint="eastAsia"/>
        </w:rPr>
        <w:t xml:space="preserve">y </w:t>
      </w:r>
      <w:r>
        <w:rPr>
          <w:rFonts w:hint="eastAsia"/>
        </w:rPr>
        <w:t>consumption</w:t>
      </w:r>
      <w:r>
        <w:rPr>
          <w:rFonts w:hint="eastAsia"/>
        </w:rPr>
        <w:t>：城镇污水处理厂能耗类型可分为直接能耗和间接能耗，直接能耗主要是指现场处理运行所消耗的能源，包括曝气系统电机的电能，污水提升和污泥回流所用泵的电能，污泥脱水时的电耗以及污泥消化时消耗的热能等。间接能耗则是指现场所用原料的生产耗能，诸如活性炭、明矾、二氧化碳、氯气、石灰等原料生产所需的能量功，也有相关资料将药耗纳入间接能耗。国内外普遍采用电耗评估污水处理厂能耗。北京市地方标准《城镇污水处理能源消耗限额》（</w:t>
      </w:r>
      <w:r>
        <w:rPr>
          <w:rFonts w:hint="eastAsia"/>
        </w:rPr>
        <w:t>D</w:t>
      </w:r>
      <w:r>
        <w:t>B11/T 1118-2014</w:t>
      </w:r>
      <w:r>
        <w:rPr>
          <w:rFonts w:hint="eastAsia"/>
        </w:rPr>
        <w:t>）中规定了污水处理厂电耗限额，《江苏省城镇污水处理厂</w:t>
      </w:r>
      <w:r>
        <w:rPr>
          <w:rFonts w:hint="eastAsia"/>
        </w:rPr>
        <w:t>运行管理考核标准》（</w:t>
      </w:r>
      <w:r>
        <w:rPr>
          <w:rFonts w:hint="eastAsia"/>
        </w:rPr>
        <w:t>2</w:t>
      </w:r>
      <w:r>
        <w:t>020</w:t>
      </w:r>
      <w:r>
        <w:rPr>
          <w:rFonts w:hint="eastAsia"/>
        </w:rPr>
        <w:t>版）中对污水处理厂能耗的考核也主要考虑电耗。综合以上，本文件采用电耗评估污水处理厂能耗，并根据江苏省地方标准《单位能耗限额》（</w:t>
      </w:r>
      <w:r>
        <w:rPr>
          <w:rFonts w:hint="eastAsia"/>
        </w:rPr>
        <w:t>D</w:t>
      </w:r>
      <w:r>
        <w:t>B32/ 2060-2018</w:t>
      </w:r>
      <w:r>
        <w:rPr>
          <w:rFonts w:hint="eastAsia"/>
        </w:rPr>
        <w:t>）中对综合能耗的定义“用能单位在统计报告期内实际消耗的各种能源实物量，按照规定的计算方法和单位分别折算后的总和”，在其基础上进行修改，将能耗定义为“用能单位在统计报告期内实际</w:t>
      </w:r>
      <w:r>
        <w:rPr>
          <w:rFonts w:hint="eastAsia"/>
        </w:rPr>
        <w:lastRenderedPageBreak/>
        <w:t>消耗的能源实物量。本文件能耗特指电耗。”</w:t>
      </w:r>
    </w:p>
    <w:p w:rsidR="008E7D53" w:rsidRDefault="0098666E">
      <w:pPr>
        <w:ind w:firstLine="480"/>
        <w:textAlignment w:val="baseline"/>
        <w:rPr>
          <w:sz w:val="20"/>
        </w:rPr>
      </w:pPr>
      <w:r>
        <w:t>（</w:t>
      </w:r>
      <w:r>
        <w:t>3</w:t>
      </w:r>
      <w:r>
        <w:t>）</w:t>
      </w:r>
      <w:r>
        <w:rPr>
          <w:rFonts w:hint="eastAsia"/>
        </w:rPr>
        <w:t>每千克总污染物去除电耗，</w:t>
      </w:r>
      <w:r>
        <w:t>electricity consumption for removal of to</w:t>
      </w:r>
      <w:r>
        <w:t>tal pollutants per k</w:t>
      </w:r>
      <w:r>
        <w:rPr>
          <w:rFonts w:hint="eastAsia"/>
        </w:rPr>
        <w:t>ilo</w:t>
      </w:r>
      <w:r>
        <w:t>gram</w:t>
      </w:r>
      <w:r>
        <w:rPr>
          <w:rFonts w:hint="eastAsia"/>
        </w:rPr>
        <w:t>：根据计算方法本身的含义，将每千克总污染物去除电耗定义为“统计报告期内，去除每千克总污染物消耗的电量”。</w:t>
      </w:r>
    </w:p>
    <w:p w:rsidR="008E7D53" w:rsidRDefault="0098666E">
      <w:pPr>
        <w:pStyle w:val="2"/>
        <w:numPr>
          <w:ilvl w:val="0"/>
          <w:numId w:val="0"/>
        </w:numPr>
        <w:spacing w:after="156"/>
        <w:jc w:val="both"/>
        <w:textAlignment w:val="baseline"/>
        <w:rPr>
          <w:b w:val="0"/>
        </w:rPr>
      </w:pPr>
      <w:bookmarkStart w:id="29" w:name="_Toc89240948"/>
      <w:r>
        <w:rPr>
          <w:b w:val="0"/>
        </w:rPr>
        <w:t xml:space="preserve">4.4 </w:t>
      </w:r>
      <w:r>
        <w:rPr>
          <w:rFonts w:hint="eastAsia"/>
          <w:b w:val="0"/>
        </w:rPr>
        <w:t>能耗统计范围</w:t>
      </w:r>
      <w:bookmarkEnd w:id="29"/>
    </w:p>
    <w:p w:rsidR="008E7D53" w:rsidRDefault="0098666E">
      <w:pPr>
        <w:ind w:firstLine="480"/>
        <w:textAlignment w:val="baseline"/>
      </w:pPr>
      <w:r>
        <w:rPr>
          <w:rFonts w:hint="eastAsia"/>
        </w:rPr>
        <w:t>本文件能耗统计范围包括预处理系统、生物</w:t>
      </w:r>
      <w:r>
        <w:t>-</w:t>
      </w:r>
      <w:r>
        <w:rPr>
          <w:rFonts w:hint="eastAsia"/>
        </w:rPr>
        <w:t>回流系统、深度处理系统、消毒系统、配套加药系统、污泥处理系统，不包括再生水处理系统、再生水外供配水系统、污泥运输和处置系统等。</w:t>
      </w:r>
    </w:p>
    <w:p w:rsidR="008E7D53" w:rsidRDefault="0098666E">
      <w:pPr>
        <w:ind w:firstLine="480"/>
        <w:textAlignment w:val="baseline"/>
      </w:pPr>
      <w:r>
        <w:rPr>
          <w:rFonts w:hint="eastAsia"/>
        </w:rPr>
        <w:t>（</w:t>
      </w:r>
      <w:r>
        <w:rPr>
          <w:rFonts w:hint="eastAsia"/>
        </w:rPr>
        <w:t>1</w:t>
      </w:r>
      <w:r>
        <w:rPr>
          <w:rFonts w:hint="eastAsia"/>
        </w:rPr>
        <w:t>）北京市地方标准《城镇污水处理能源消耗限额》（</w:t>
      </w:r>
      <w:r>
        <w:t>DB11/T 1118-2014</w:t>
      </w:r>
      <w:r>
        <w:rPr>
          <w:rFonts w:hint="eastAsia"/>
        </w:rPr>
        <w:t>）能耗统计边界包括生产系统、辅助生产系统和附属生产系统。其中，生产系统包括格</w:t>
      </w:r>
      <w:r>
        <w:t>栅、</w:t>
      </w:r>
      <w:r>
        <w:t>预处理系统、生化反应系统及回流系统等</w:t>
      </w:r>
      <w:r>
        <w:rPr>
          <w:rFonts w:hint="eastAsia"/>
        </w:rPr>
        <w:t>，不包括污泥脱水、污泥消化系统、污泥运输和处置等。</w:t>
      </w:r>
      <w:r>
        <w:rPr>
          <w:rFonts w:hint="eastAsia"/>
        </w:rPr>
        <w:t>2</w:t>
      </w:r>
      <w:r>
        <w:t>021</w:t>
      </w:r>
      <w:r>
        <w:rPr>
          <w:rFonts w:hint="eastAsia"/>
        </w:rPr>
        <w:t>年，该标准进行了修订，标准征求意见稿中规定与污水处理直接相关的生产系统能耗统计边界包括预处理系统、生化反应系统及回流系统、再生水深度处理系统、脱色消毒系统、污泥脱水系统等，不包括再生水外供配水系统、污泥消化系统、污泥运输和处置系统等。相比</w:t>
      </w:r>
      <w:r>
        <w:rPr>
          <w:rFonts w:hint="eastAsia"/>
        </w:rPr>
        <w:t>DB11/T 1118-2014</w:t>
      </w:r>
      <w:r>
        <w:rPr>
          <w:rFonts w:hint="eastAsia"/>
        </w:rPr>
        <w:t>，修订版公开征求意见稿中与污水处理直接相关的生产系统能耗统计边界增加了再生水深度处理系统、脱色消毒系统和污泥脱水系统。</w:t>
      </w:r>
    </w:p>
    <w:p w:rsidR="008E7D53" w:rsidRDefault="0098666E">
      <w:pPr>
        <w:ind w:firstLine="480"/>
        <w:textAlignment w:val="baseline"/>
      </w:pPr>
      <w:r>
        <w:rPr>
          <w:rFonts w:hint="eastAsia"/>
        </w:rPr>
        <w:t>城镇污水处理厂主要耗能设备为</w:t>
      </w:r>
      <w:r>
        <w:rPr>
          <w:rFonts w:hint="eastAsia"/>
        </w:rPr>
        <w:t>提升泵、潜污泵、风机、曝气机、提气装置、反冲洗泵、回流泵等，这些设备分散在预处理系统（含格栅）、生物</w:t>
      </w:r>
      <w:r>
        <w:t>-</w:t>
      </w:r>
      <w:r>
        <w:rPr>
          <w:rFonts w:hint="eastAsia"/>
        </w:rPr>
        <w:t>回流系统等。根据不完全统计，预处理单元电耗占全厂电耗的</w:t>
      </w:r>
      <w:r>
        <w:t>15%~25%</w:t>
      </w:r>
      <w:r>
        <w:rPr>
          <w:rFonts w:hint="eastAsia"/>
        </w:rPr>
        <w:t>，生物处理单元电耗占全厂电耗的</w:t>
      </w:r>
      <w:r>
        <w:t>50%~70%</w:t>
      </w:r>
      <w:r>
        <w:rPr>
          <w:rFonts w:hint="eastAsia"/>
        </w:rPr>
        <w:t>，污泥处理单元电耗占全厂电耗的</w:t>
      </w:r>
      <w:r>
        <w:t>10%~25%</w:t>
      </w:r>
      <w:r>
        <w:rPr>
          <w:rFonts w:hint="eastAsia"/>
        </w:rPr>
        <w:t>。</w:t>
      </w:r>
    </w:p>
    <w:p w:rsidR="008E7D53" w:rsidRDefault="0098666E">
      <w:pPr>
        <w:ind w:firstLine="480"/>
        <w:textAlignment w:val="baseline"/>
      </w:pPr>
      <w:r>
        <w:rPr>
          <w:rFonts w:hint="eastAsia"/>
        </w:rPr>
        <w:t>采用生物处理的城镇污水处理厂大多具备预处理系统、生物</w:t>
      </w:r>
      <w:r>
        <w:rPr>
          <w:rFonts w:hint="eastAsia"/>
        </w:rPr>
        <w:t>-</w:t>
      </w:r>
      <w:r>
        <w:rPr>
          <w:rFonts w:hint="eastAsia"/>
        </w:rPr>
        <w:t>回流系统和污泥脱水系统环节。预处理系统一般包括格栅、污水提升和混合泵等，其除了简单的去除大块的悬浮物，也为后续生化段所采用不同的处理工艺调节相应的水量水质情况，因此会影响到生物处理系统的能耗情况。</w:t>
      </w:r>
      <w:r>
        <w:rPr>
          <w:rFonts w:hint="eastAsia"/>
        </w:rPr>
        <w:t>在生物处理系统中，回流系统是和其直接联系的，回流系统，对于某些工艺例如</w:t>
      </w:r>
      <w:r>
        <w:rPr>
          <w:rFonts w:hint="eastAsia"/>
        </w:rPr>
        <w:t>A</w:t>
      </w:r>
      <w:r>
        <w:rPr>
          <w:vertAlign w:val="superscript"/>
        </w:rPr>
        <w:t>2</w:t>
      </w:r>
      <w:r>
        <w:rPr>
          <w:rFonts w:hint="eastAsia"/>
        </w:rPr>
        <w:t>/</w:t>
      </w:r>
      <w:r>
        <w:t>O</w:t>
      </w:r>
      <w:r>
        <w:rPr>
          <w:rFonts w:hint="eastAsia"/>
        </w:rPr>
        <w:t>可谓是密不可分，一般生物处理系统和回流系统和一体的。另外，不同的出水标准间接反映出污水处理的程度，现阶段会存在一些采用以生物法为主的深度处理技术。同时，随着水污染防治攻坚战的打响，“水十条”以及一系列水污染防治政策文件的发布，水环</w:t>
      </w:r>
      <w:r>
        <w:rPr>
          <w:rFonts w:hint="eastAsia"/>
        </w:rPr>
        <w:lastRenderedPageBreak/>
        <w:t>境质量要求不断提高，全国城镇污水处理厂提质增效逐步推进和开展，污水处理厂深度处理系统也将不断增加。</w:t>
      </w:r>
    </w:p>
    <w:p w:rsidR="008E7D53" w:rsidRDefault="0098666E">
      <w:pPr>
        <w:ind w:firstLine="480"/>
        <w:textAlignment w:val="baseline"/>
      </w:pPr>
      <w:r>
        <w:rPr>
          <w:rFonts w:hint="eastAsia"/>
        </w:rPr>
        <w:t>因此，本文件将预处理系统、生物</w:t>
      </w:r>
      <w:r>
        <w:t>-</w:t>
      </w:r>
      <w:r>
        <w:rPr>
          <w:rFonts w:hint="eastAsia"/>
        </w:rPr>
        <w:t>回流系统和深度处理系统纳入能耗统计范围。</w:t>
      </w:r>
    </w:p>
    <w:p w:rsidR="008E7D53" w:rsidRDefault="0098666E">
      <w:pPr>
        <w:ind w:firstLine="480"/>
        <w:textAlignment w:val="baseline"/>
      </w:pPr>
      <w:r>
        <w:rPr>
          <w:rFonts w:hint="eastAsia"/>
        </w:rPr>
        <w:t>（</w:t>
      </w:r>
      <w:r>
        <w:rPr>
          <w:rFonts w:hint="eastAsia"/>
        </w:rPr>
        <w:t>2</w:t>
      </w:r>
      <w:r>
        <w:rPr>
          <w:rFonts w:hint="eastAsia"/>
        </w:rPr>
        <w:t>）目前城镇污水处理厂中消毒方式包括紫外消毒、臭氧消毒和氯消毒，不同的消毒方式能耗水平不同，并且存在在不同的能源消耗形式，考虑本文件中能源消耗仅考虑电耗，影响城镇污水处理厂电耗水平的消毒系统也应包含进来考虑。而污水处理加药系统是集加药箱、计量泵、自动控制系统等于一体的系统，在城镇污水处理厂的应用较多，并且污水处理厂的加药一般是生化段的投加外加碳源、化学除磷加药等。因此，编制组将消毒系统和配套加药系统纳入能耗统计范围。</w:t>
      </w:r>
    </w:p>
    <w:p w:rsidR="008E7D53" w:rsidRDefault="0098666E">
      <w:pPr>
        <w:ind w:firstLine="480"/>
        <w:textAlignment w:val="baseline"/>
      </w:pPr>
      <w:r>
        <w:rPr>
          <w:rFonts w:hint="eastAsia"/>
        </w:rPr>
        <w:t>（</w:t>
      </w:r>
      <w:r>
        <w:rPr>
          <w:rFonts w:hint="eastAsia"/>
        </w:rPr>
        <w:t>3</w:t>
      </w:r>
      <w:r>
        <w:rPr>
          <w:rFonts w:hint="eastAsia"/>
        </w:rPr>
        <w:t>）污水生物处理过程中</w:t>
      </w:r>
      <w:r>
        <w:rPr>
          <w:rFonts w:hint="eastAsia"/>
        </w:rPr>
        <w:t>污泥的处理过程也会消耗电能</w:t>
      </w:r>
      <w:r>
        <w:rPr>
          <w:rFonts w:hint="eastAsia"/>
        </w:rPr>
        <w:t>。污泥在不同的工艺环节具有不同的形态</w:t>
      </w:r>
      <w:r>
        <w:rPr>
          <w:rFonts w:hint="eastAsia"/>
        </w:rPr>
        <w:t>，</w:t>
      </w:r>
      <w:r>
        <w:rPr>
          <w:rFonts w:hint="eastAsia"/>
        </w:rPr>
        <w:t>且</w:t>
      </w:r>
      <w:r>
        <w:rPr>
          <w:rFonts w:hint="eastAsia"/>
        </w:rPr>
        <w:t>根据工艺和处理路线不同，污泥最终的状态（含水率）也不同。根据污泥后续不同处理和处置要求，污泥脱水程度不同，进而导致能耗不同，</w:t>
      </w:r>
      <w:r>
        <w:rPr>
          <w:rFonts w:hint="eastAsia"/>
        </w:rPr>
        <w:t>目前</w:t>
      </w:r>
      <w:r>
        <w:rPr>
          <w:rFonts w:hint="eastAsia"/>
        </w:rPr>
        <w:t>《城镇污水处理厂污染物排放标准》（</w:t>
      </w:r>
      <w:r>
        <w:rPr>
          <w:rFonts w:hint="eastAsia"/>
        </w:rPr>
        <w:t>G</w:t>
      </w:r>
      <w:r>
        <w:t>B 18918</w:t>
      </w:r>
      <w:r>
        <w:rPr>
          <w:rFonts w:hint="eastAsia"/>
        </w:rPr>
        <w:t>-</w:t>
      </w:r>
      <w:r>
        <w:t>2002</w:t>
      </w:r>
      <w:r>
        <w:rPr>
          <w:rFonts w:hint="eastAsia"/>
        </w:rPr>
        <w:t>）中明确规定了城镇污水处理厂污泥进行稳定化处理时各指标应达到的</w:t>
      </w:r>
      <w:r>
        <w:rPr>
          <w:rFonts w:hint="eastAsia"/>
        </w:rPr>
        <w:t>限值并</w:t>
      </w:r>
      <w:r>
        <w:rPr>
          <w:rFonts w:hint="eastAsia"/>
        </w:rPr>
        <w:t>规定了污泥脱水的统一标准为污泥含水率小于</w:t>
      </w:r>
      <w:r>
        <w:rPr>
          <w:rFonts w:hint="eastAsia"/>
        </w:rPr>
        <w:t>8</w:t>
      </w:r>
      <w:r>
        <w:t>0</w:t>
      </w:r>
      <w:r>
        <w:rPr>
          <w:rFonts w:hint="eastAsia"/>
        </w:rPr>
        <w:t>%</w:t>
      </w:r>
      <w:r>
        <w:rPr>
          <w:rFonts w:hint="eastAsia"/>
        </w:rPr>
        <w:t>。同时，根据生态环境部公布的第二次全国污染普查结果，江苏省</w:t>
      </w:r>
      <w:r>
        <w:rPr>
          <w:rFonts w:hint="eastAsia"/>
        </w:rPr>
        <w:t>14%</w:t>
      </w:r>
      <w:r>
        <w:rPr>
          <w:rFonts w:hint="eastAsia"/>
        </w:rPr>
        <w:t>的城镇污水处理厂具备自建污泥稳定处理系统，</w:t>
      </w:r>
      <w:r>
        <w:rPr>
          <w:rFonts w:hint="eastAsia"/>
        </w:rPr>
        <w:t>0.9%</w:t>
      </w:r>
      <w:r>
        <w:rPr>
          <w:rFonts w:hint="eastAsia"/>
        </w:rPr>
        <w:t>具备厌氧消化处理装置，即江苏省城镇污水处理厂的污泥大多外运进行处理和处置，但污泥在场内进行脱水</w:t>
      </w:r>
      <w:r>
        <w:rPr>
          <w:rFonts w:hint="eastAsia"/>
        </w:rPr>
        <w:t>是必须的。因此，本文件将城镇污水处理厂中的污泥处理系统纳入能耗统计范围。但不考虑污泥的运输和处置系统。</w:t>
      </w:r>
    </w:p>
    <w:p w:rsidR="008E7D53" w:rsidRDefault="0098666E">
      <w:pPr>
        <w:ind w:firstLine="480"/>
        <w:textAlignment w:val="baseline"/>
        <w:rPr>
          <w:sz w:val="20"/>
        </w:rPr>
      </w:pPr>
      <w:r>
        <w:rPr>
          <w:rFonts w:hint="eastAsia"/>
        </w:rPr>
        <w:t>对于再生水处理系统和再生水外供配水系统，根据《城市污水回用设计规范》中规定，再生水的输配水应建成独立系统。当城镇污水处理厂的出水回用时，一般在深度处理工艺之后建设再生水的输配水系统，属于管道输送。此外，再生水与城镇污水处理厂执行出水标准</w:t>
      </w:r>
      <w:r>
        <w:rPr>
          <w:rFonts w:hint="eastAsia"/>
        </w:rPr>
        <w:t>不同</w:t>
      </w:r>
      <w:r>
        <w:rPr>
          <w:rFonts w:hint="eastAsia"/>
        </w:rPr>
        <w:t>，且根据回用途径</w:t>
      </w:r>
      <w:r>
        <w:rPr>
          <w:rFonts w:hint="eastAsia"/>
        </w:rPr>
        <w:t>差异</w:t>
      </w:r>
      <w:r>
        <w:rPr>
          <w:rFonts w:hint="eastAsia"/>
        </w:rPr>
        <w:t>，其出水执行的排放标准也不同，相对其他系统而言影响因素和不确定性很大，因此能耗统计范围不包括再生水处理系统和再生水外供配水系统。</w:t>
      </w:r>
    </w:p>
    <w:p w:rsidR="008E7D53" w:rsidRDefault="0098666E">
      <w:pPr>
        <w:ind w:firstLine="480"/>
        <w:textAlignment w:val="baseline"/>
      </w:pPr>
      <w:r>
        <w:rPr>
          <w:rFonts w:hint="eastAsia"/>
        </w:rPr>
        <w:t>综上，能耗统计范围</w:t>
      </w:r>
      <w:r>
        <w:rPr>
          <w:rFonts w:hint="eastAsia"/>
        </w:rPr>
        <w:t>包括预处理系统、生化</w:t>
      </w:r>
      <w:r>
        <w:t>-</w:t>
      </w:r>
      <w:r>
        <w:rPr>
          <w:rFonts w:hint="eastAsia"/>
        </w:rPr>
        <w:t>回流系统、深度处理系统、消毒系统、配套加药系统、污泥处理系统，不包括再生水处理系统、再生水外供配水</w:t>
      </w:r>
      <w:r>
        <w:rPr>
          <w:rFonts w:hint="eastAsia"/>
        </w:rPr>
        <w:lastRenderedPageBreak/>
        <w:t>系统、污泥运输和处置系统等。</w:t>
      </w:r>
    </w:p>
    <w:p w:rsidR="008E7D53" w:rsidRDefault="0098666E">
      <w:pPr>
        <w:pStyle w:val="2"/>
        <w:numPr>
          <w:ilvl w:val="0"/>
          <w:numId w:val="0"/>
        </w:numPr>
        <w:spacing w:after="156"/>
        <w:jc w:val="both"/>
        <w:textAlignment w:val="baseline"/>
        <w:rPr>
          <w:b w:val="0"/>
        </w:rPr>
      </w:pPr>
      <w:bookmarkStart w:id="30" w:name="_Toc89240949"/>
      <w:r>
        <w:rPr>
          <w:b w:val="0"/>
        </w:rPr>
        <w:t>4.5</w:t>
      </w:r>
      <w:r>
        <w:rPr>
          <w:rFonts w:hint="eastAsia"/>
          <w:b w:val="0"/>
        </w:rPr>
        <w:t>能耗评价指标</w:t>
      </w:r>
      <w:bookmarkEnd w:id="30"/>
    </w:p>
    <w:p w:rsidR="008E7D53" w:rsidRDefault="0098666E">
      <w:pPr>
        <w:ind w:firstLineChars="0" w:firstLine="0"/>
        <w:textAlignment w:val="baseline"/>
        <w:rPr>
          <w:b/>
          <w:sz w:val="20"/>
        </w:rPr>
      </w:pPr>
      <w:r>
        <w:rPr>
          <w:b/>
        </w:rPr>
        <w:t>4.5.1</w:t>
      </w:r>
      <w:r>
        <w:rPr>
          <w:rFonts w:hint="eastAsia"/>
          <w:b/>
        </w:rPr>
        <w:t>能耗评价指标的确定</w:t>
      </w:r>
    </w:p>
    <w:p w:rsidR="008E7D53" w:rsidRDefault="0098666E">
      <w:pPr>
        <w:ind w:firstLine="480"/>
      </w:pPr>
      <w:r>
        <w:rPr>
          <w:rFonts w:hint="eastAsia"/>
        </w:rPr>
        <w:t>编制组经大量资料调研，总结得到目前实际应用和研究较多的污水处理厂能耗评价指标如表</w:t>
      </w:r>
      <w:r>
        <w:t>4</w:t>
      </w:r>
      <w:r>
        <w:rPr>
          <w:rFonts w:hint="eastAsia"/>
        </w:rPr>
        <w:t>-</w:t>
      </w:r>
      <w:r>
        <w:t>1</w:t>
      </w:r>
      <w:r>
        <w:rPr>
          <w:rFonts w:hint="eastAsia"/>
        </w:rPr>
        <w:t>所示。</w:t>
      </w:r>
    </w:p>
    <w:p w:rsidR="008E7D53" w:rsidRDefault="0098666E">
      <w:pPr>
        <w:ind w:firstLineChars="0" w:firstLine="0"/>
        <w:jc w:val="center"/>
        <w:textAlignment w:val="baseline"/>
        <w:rPr>
          <w:sz w:val="16"/>
        </w:rPr>
      </w:pPr>
      <w:r>
        <w:rPr>
          <w:rFonts w:hint="eastAsia"/>
          <w:sz w:val="21"/>
        </w:rPr>
        <w:t>表</w:t>
      </w:r>
      <w:r>
        <w:rPr>
          <w:sz w:val="21"/>
        </w:rPr>
        <w:t>4-1</w:t>
      </w:r>
      <w:r>
        <w:rPr>
          <w:rFonts w:hint="eastAsia"/>
          <w:sz w:val="21"/>
        </w:rPr>
        <w:t xml:space="preserve"> </w:t>
      </w:r>
      <w:r>
        <w:rPr>
          <w:rFonts w:hint="eastAsia"/>
          <w:sz w:val="21"/>
        </w:rPr>
        <w:t>污水处理厂能耗评价指标统计表</w:t>
      </w:r>
    </w:p>
    <w:tbl>
      <w:tblPr>
        <w:tblStyle w:val="aff5"/>
        <w:tblW w:w="8642" w:type="dxa"/>
        <w:jc w:val="center"/>
        <w:tblLook w:val="04A0" w:firstRow="1" w:lastRow="0" w:firstColumn="1" w:lastColumn="0" w:noHBand="0" w:noVBand="1"/>
      </w:tblPr>
      <w:tblGrid>
        <w:gridCol w:w="532"/>
        <w:gridCol w:w="1762"/>
        <w:gridCol w:w="4505"/>
        <w:gridCol w:w="1843"/>
      </w:tblGrid>
      <w:tr w:rsidR="008E7D53">
        <w:trPr>
          <w:jc w:val="center"/>
        </w:trPr>
        <w:tc>
          <w:tcPr>
            <w:tcW w:w="532" w:type="dxa"/>
            <w:vAlign w:val="center"/>
          </w:tcPr>
          <w:p w:rsidR="008E7D53" w:rsidRDefault="0098666E">
            <w:pPr>
              <w:ind w:firstLineChars="0" w:firstLine="0"/>
              <w:jc w:val="center"/>
              <w:textAlignment w:val="baseline"/>
              <w:rPr>
                <w:sz w:val="20"/>
              </w:rPr>
            </w:pPr>
            <w:r>
              <w:rPr>
                <w:rFonts w:hint="eastAsia"/>
                <w:sz w:val="20"/>
              </w:rPr>
              <w:t>序号</w:t>
            </w:r>
          </w:p>
        </w:tc>
        <w:tc>
          <w:tcPr>
            <w:tcW w:w="1762" w:type="dxa"/>
            <w:vAlign w:val="center"/>
          </w:tcPr>
          <w:p w:rsidR="008E7D53" w:rsidRDefault="0098666E">
            <w:pPr>
              <w:ind w:firstLineChars="0" w:firstLine="0"/>
              <w:jc w:val="center"/>
              <w:textAlignment w:val="baseline"/>
              <w:rPr>
                <w:sz w:val="20"/>
              </w:rPr>
            </w:pPr>
            <w:r>
              <w:rPr>
                <w:rFonts w:hint="eastAsia"/>
                <w:sz w:val="20"/>
              </w:rPr>
              <w:t>能耗评价指标</w:t>
            </w:r>
          </w:p>
        </w:tc>
        <w:tc>
          <w:tcPr>
            <w:tcW w:w="4505" w:type="dxa"/>
            <w:vAlign w:val="center"/>
          </w:tcPr>
          <w:p w:rsidR="008E7D53" w:rsidRDefault="0098666E">
            <w:pPr>
              <w:ind w:firstLineChars="0" w:firstLine="0"/>
              <w:jc w:val="center"/>
              <w:textAlignment w:val="baseline"/>
              <w:rPr>
                <w:sz w:val="20"/>
              </w:rPr>
            </w:pPr>
            <w:r>
              <w:rPr>
                <w:rFonts w:hint="eastAsia"/>
                <w:sz w:val="20"/>
              </w:rPr>
              <w:t>计算公式</w:t>
            </w:r>
          </w:p>
        </w:tc>
        <w:tc>
          <w:tcPr>
            <w:tcW w:w="1843" w:type="dxa"/>
            <w:vAlign w:val="center"/>
          </w:tcPr>
          <w:p w:rsidR="008E7D53" w:rsidRDefault="0098666E">
            <w:pPr>
              <w:ind w:firstLineChars="0" w:firstLine="0"/>
              <w:jc w:val="center"/>
              <w:textAlignment w:val="baseline"/>
              <w:rPr>
                <w:sz w:val="20"/>
              </w:rPr>
            </w:pPr>
            <w:r>
              <w:rPr>
                <w:rFonts w:hint="eastAsia"/>
                <w:sz w:val="20"/>
              </w:rPr>
              <w:t>来源</w:t>
            </w:r>
          </w:p>
        </w:tc>
      </w:tr>
      <w:tr w:rsidR="008E7D53">
        <w:trPr>
          <w:jc w:val="center"/>
        </w:trPr>
        <w:tc>
          <w:tcPr>
            <w:tcW w:w="532" w:type="dxa"/>
            <w:vAlign w:val="center"/>
          </w:tcPr>
          <w:p w:rsidR="008E7D53" w:rsidRDefault="0098666E">
            <w:pPr>
              <w:ind w:firstLineChars="0" w:firstLine="0"/>
              <w:jc w:val="center"/>
              <w:textAlignment w:val="baseline"/>
              <w:rPr>
                <w:sz w:val="20"/>
              </w:rPr>
            </w:pPr>
            <w:r>
              <w:rPr>
                <w:sz w:val="20"/>
              </w:rPr>
              <w:t>1</w:t>
            </w:r>
          </w:p>
        </w:tc>
        <w:tc>
          <w:tcPr>
            <w:tcW w:w="1762" w:type="dxa"/>
            <w:vAlign w:val="center"/>
          </w:tcPr>
          <w:p w:rsidR="008E7D53" w:rsidRDefault="0098666E">
            <w:pPr>
              <w:ind w:firstLineChars="0" w:firstLine="0"/>
              <w:jc w:val="center"/>
              <w:textAlignment w:val="baseline"/>
              <w:rPr>
                <w:sz w:val="20"/>
              </w:rPr>
            </w:pPr>
            <w:r>
              <w:rPr>
                <w:rFonts w:hint="eastAsia"/>
                <w:sz w:val="20"/>
              </w:rPr>
              <w:t>单位水量电耗（</w:t>
            </w:r>
            <w:r>
              <w:rPr>
                <w:sz w:val="20"/>
              </w:rPr>
              <w:t>kW·h/m</w:t>
            </w:r>
            <w:r>
              <w:rPr>
                <w:sz w:val="20"/>
                <w:vertAlign w:val="superscript"/>
              </w:rPr>
              <w:t>3</w:t>
            </w:r>
            <w:r>
              <w:rPr>
                <w:rFonts w:hint="eastAsia"/>
                <w:sz w:val="20"/>
              </w:rPr>
              <w:t>）</w:t>
            </w:r>
          </w:p>
        </w:tc>
        <w:tc>
          <w:tcPr>
            <w:tcW w:w="4505" w:type="dxa"/>
            <w:vAlign w:val="center"/>
          </w:tcPr>
          <w:p w:rsidR="008E7D53" w:rsidRDefault="0098666E">
            <w:pPr>
              <w:ind w:firstLineChars="0" w:firstLine="0"/>
              <w:jc w:val="center"/>
              <w:textAlignment w:val="baseline"/>
              <w:rPr>
                <w:sz w:val="20"/>
              </w:rPr>
            </w:pPr>
            <w:r>
              <w:rPr>
                <w:rFonts w:hint="eastAsia"/>
                <w:sz w:val="20"/>
              </w:rPr>
              <w:t>电量</w:t>
            </w:r>
            <w:r>
              <w:rPr>
                <w:rFonts w:hint="eastAsia"/>
                <w:sz w:val="20"/>
              </w:rPr>
              <w:t>/</w:t>
            </w:r>
            <w:r>
              <w:rPr>
                <w:rFonts w:hint="eastAsia"/>
                <w:sz w:val="20"/>
              </w:rPr>
              <w:t>处理水量</w:t>
            </w:r>
          </w:p>
        </w:tc>
        <w:tc>
          <w:tcPr>
            <w:tcW w:w="1843" w:type="dxa"/>
            <w:vAlign w:val="center"/>
          </w:tcPr>
          <w:p w:rsidR="008E7D53" w:rsidRDefault="0098666E">
            <w:pPr>
              <w:ind w:firstLineChars="0" w:firstLine="0"/>
              <w:jc w:val="center"/>
              <w:textAlignment w:val="baseline"/>
              <w:rPr>
                <w:sz w:val="20"/>
              </w:rPr>
            </w:pPr>
            <w:r>
              <w:rPr>
                <w:rFonts w:hint="eastAsia"/>
                <w:sz w:val="20"/>
              </w:rPr>
              <w:t>实际应用、标准、文献</w:t>
            </w:r>
          </w:p>
        </w:tc>
      </w:tr>
      <w:tr w:rsidR="008E7D53">
        <w:trPr>
          <w:jc w:val="center"/>
        </w:trPr>
        <w:tc>
          <w:tcPr>
            <w:tcW w:w="532" w:type="dxa"/>
            <w:vAlign w:val="center"/>
          </w:tcPr>
          <w:p w:rsidR="008E7D53" w:rsidRDefault="0098666E">
            <w:pPr>
              <w:ind w:firstLineChars="0" w:firstLine="0"/>
              <w:jc w:val="center"/>
              <w:textAlignment w:val="baseline"/>
              <w:rPr>
                <w:sz w:val="20"/>
              </w:rPr>
            </w:pPr>
            <w:r>
              <w:rPr>
                <w:sz w:val="20"/>
              </w:rPr>
              <w:t>2</w:t>
            </w:r>
          </w:p>
        </w:tc>
        <w:tc>
          <w:tcPr>
            <w:tcW w:w="1762" w:type="dxa"/>
            <w:vAlign w:val="center"/>
          </w:tcPr>
          <w:p w:rsidR="008E7D53" w:rsidRDefault="0098666E">
            <w:pPr>
              <w:ind w:firstLineChars="0" w:firstLine="0"/>
              <w:jc w:val="center"/>
              <w:textAlignment w:val="baseline"/>
              <w:rPr>
                <w:sz w:val="20"/>
              </w:rPr>
            </w:pPr>
            <w:r>
              <w:rPr>
                <w:rFonts w:hint="eastAsia"/>
                <w:sz w:val="20"/>
              </w:rPr>
              <w:t>单位</w:t>
            </w:r>
            <w:r>
              <w:rPr>
                <w:sz w:val="20"/>
              </w:rPr>
              <w:t>COD</w:t>
            </w:r>
            <w:r>
              <w:rPr>
                <w:rFonts w:hint="eastAsia"/>
                <w:sz w:val="20"/>
              </w:rPr>
              <w:t>削减电耗（</w:t>
            </w:r>
            <w:r>
              <w:rPr>
                <w:sz w:val="20"/>
              </w:rPr>
              <w:t>kW·h/kg</w:t>
            </w:r>
            <w:r>
              <w:rPr>
                <w:rFonts w:hint="eastAsia"/>
                <w:sz w:val="20"/>
              </w:rPr>
              <w:t>）</w:t>
            </w:r>
          </w:p>
        </w:tc>
        <w:tc>
          <w:tcPr>
            <w:tcW w:w="4505" w:type="dxa"/>
            <w:vAlign w:val="center"/>
          </w:tcPr>
          <w:p w:rsidR="008E7D53" w:rsidRDefault="0098666E">
            <w:pPr>
              <w:ind w:firstLineChars="0" w:firstLine="0"/>
              <w:jc w:val="center"/>
              <w:textAlignment w:val="baseline"/>
              <w:rPr>
                <w:sz w:val="20"/>
              </w:rPr>
            </w:pPr>
            <w:r>
              <w:rPr>
                <w:rFonts w:hint="eastAsia"/>
                <w:sz w:val="20"/>
              </w:rPr>
              <w:t>电量</w:t>
            </w:r>
            <w:r>
              <w:rPr>
                <w:rFonts w:hint="eastAsia"/>
                <w:sz w:val="20"/>
              </w:rPr>
              <w:t>/</w:t>
            </w:r>
            <w:r>
              <w:rPr>
                <w:rFonts w:hint="eastAsia"/>
                <w:sz w:val="20"/>
              </w:rPr>
              <w:t>（处理水量</w:t>
            </w:r>
            <w:r>
              <w:rPr>
                <w:sz w:val="20"/>
              </w:rPr>
              <w:sym w:font="Wingdings 2" w:char="F0CD"/>
            </w:r>
            <w:r>
              <w:rPr>
                <w:rFonts w:hint="eastAsia"/>
                <w:sz w:val="20"/>
              </w:rPr>
              <w:t>（进水</w:t>
            </w:r>
            <w:r>
              <w:rPr>
                <w:sz w:val="20"/>
              </w:rPr>
              <w:t>COD</w:t>
            </w:r>
            <w:r>
              <w:rPr>
                <w:rFonts w:hint="eastAsia"/>
                <w:sz w:val="20"/>
              </w:rPr>
              <w:t>-</w:t>
            </w:r>
            <w:r>
              <w:rPr>
                <w:rFonts w:hint="eastAsia"/>
                <w:sz w:val="20"/>
              </w:rPr>
              <w:t>出水</w:t>
            </w:r>
            <w:r>
              <w:rPr>
                <w:sz w:val="20"/>
              </w:rPr>
              <w:t>COD</w:t>
            </w:r>
            <w:r>
              <w:rPr>
                <w:rFonts w:hint="eastAsia"/>
                <w:sz w:val="20"/>
              </w:rPr>
              <w:t>））</w:t>
            </w:r>
          </w:p>
        </w:tc>
        <w:tc>
          <w:tcPr>
            <w:tcW w:w="1843" w:type="dxa"/>
            <w:vAlign w:val="center"/>
          </w:tcPr>
          <w:p w:rsidR="008E7D53" w:rsidRDefault="0098666E">
            <w:pPr>
              <w:ind w:firstLineChars="0" w:firstLine="0"/>
              <w:jc w:val="center"/>
              <w:textAlignment w:val="baseline"/>
              <w:rPr>
                <w:sz w:val="20"/>
              </w:rPr>
            </w:pPr>
            <w:r>
              <w:rPr>
                <w:rFonts w:hint="eastAsia"/>
                <w:sz w:val="20"/>
              </w:rPr>
              <w:t>实际应用、文献</w:t>
            </w:r>
          </w:p>
        </w:tc>
      </w:tr>
      <w:tr w:rsidR="008E7D53">
        <w:trPr>
          <w:jc w:val="center"/>
        </w:trPr>
        <w:tc>
          <w:tcPr>
            <w:tcW w:w="532" w:type="dxa"/>
            <w:vAlign w:val="center"/>
          </w:tcPr>
          <w:p w:rsidR="008E7D53" w:rsidRDefault="0098666E">
            <w:pPr>
              <w:ind w:firstLineChars="0" w:firstLine="0"/>
              <w:jc w:val="center"/>
              <w:textAlignment w:val="baseline"/>
              <w:rPr>
                <w:sz w:val="20"/>
              </w:rPr>
            </w:pPr>
            <w:r>
              <w:rPr>
                <w:sz w:val="20"/>
              </w:rPr>
              <w:t>3</w:t>
            </w:r>
          </w:p>
        </w:tc>
        <w:tc>
          <w:tcPr>
            <w:tcW w:w="1762" w:type="dxa"/>
            <w:vAlign w:val="center"/>
          </w:tcPr>
          <w:p w:rsidR="008E7D53" w:rsidRDefault="0098666E">
            <w:pPr>
              <w:ind w:firstLineChars="0" w:firstLine="0"/>
              <w:jc w:val="center"/>
              <w:textAlignment w:val="baseline"/>
              <w:rPr>
                <w:sz w:val="20"/>
              </w:rPr>
            </w:pPr>
            <w:r>
              <w:rPr>
                <w:rFonts w:hint="eastAsia"/>
                <w:sz w:val="20"/>
              </w:rPr>
              <w:t>单位</w:t>
            </w:r>
            <w:r>
              <w:rPr>
                <w:sz w:val="20"/>
              </w:rPr>
              <w:t>BOD</w:t>
            </w:r>
            <w:r>
              <w:rPr>
                <w:rFonts w:hint="eastAsia"/>
                <w:sz w:val="20"/>
              </w:rPr>
              <w:t>削减电耗（</w:t>
            </w:r>
            <w:r>
              <w:rPr>
                <w:sz w:val="20"/>
              </w:rPr>
              <w:t>kW·h/kg</w:t>
            </w:r>
            <w:r>
              <w:rPr>
                <w:rFonts w:hint="eastAsia"/>
                <w:sz w:val="20"/>
              </w:rPr>
              <w:t>）</w:t>
            </w:r>
          </w:p>
        </w:tc>
        <w:tc>
          <w:tcPr>
            <w:tcW w:w="4505" w:type="dxa"/>
            <w:vAlign w:val="center"/>
          </w:tcPr>
          <w:p w:rsidR="008E7D53" w:rsidRDefault="0098666E">
            <w:pPr>
              <w:ind w:firstLineChars="0" w:firstLine="0"/>
              <w:jc w:val="center"/>
              <w:textAlignment w:val="baseline"/>
              <w:rPr>
                <w:sz w:val="20"/>
              </w:rPr>
            </w:pPr>
            <w:r>
              <w:rPr>
                <w:rFonts w:hint="eastAsia"/>
                <w:sz w:val="20"/>
              </w:rPr>
              <w:t>电量</w:t>
            </w:r>
            <w:r>
              <w:rPr>
                <w:rFonts w:hint="eastAsia"/>
                <w:sz w:val="20"/>
              </w:rPr>
              <w:t>/</w:t>
            </w:r>
            <w:r>
              <w:rPr>
                <w:rFonts w:hint="eastAsia"/>
                <w:sz w:val="20"/>
              </w:rPr>
              <w:t>（处理水量</w:t>
            </w:r>
            <w:r>
              <w:rPr>
                <w:sz w:val="20"/>
              </w:rPr>
              <w:sym w:font="Wingdings 2" w:char="F0CD"/>
            </w:r>
            <w:r>
              <w:rPr>
                <w:rFonts w:hint="eastAsia"/>
                <w:sz w:val="20"/>
              </w:rPr>
              <w:t>（进水</w:t>
            </w:r>
            <w:r>
              <w:rPr>
                <w:sz w:val="20"/>
              </w:rPr>
              <w:t>B</w:t>
            </w:r>
            <w:r>
              <w:rPr>
                <w:rFonts w:hint="eastAsia"/>
                <w:sz w:val="20"/>
              </w:rPr>
              <w:t>OD-</w:t>
            </w:r>
            <w:r>
              <w:rPr>
                <w:rFonts w:hint="eastAsia"/>
                <w:sz w:val="20"/>
              </w:rPr>
              <w:t>出水</w:t>
            </w:r>
            <w:r>
              <w:rPr>
                <w:sz w:val="20"/>
              </w:rPr>
              <w:t>B</w:t>
            </w:r>
            <w:r>
              <w:rPr>
                <w:rFonts w:hint="eastAsia"/>
                <w:sz w:val="20"/>
              </w:rPr>
              <w:t>OD</w:t>
            </w:r>
            <w:r>
              <w:rPr>
                <w:rFonts w:hint="eastAsia"/>
                <w:sz w:val="20"/>
              </w:rPr>
              <w:t>））</w:t>
            </w:r>
          </w:p>
        </w:tc>
        <w:tc>
          <w:tcPr>
            <w:tcW w:w="1843" w:type="dxa"/>
            <w:vAlign w:val="center"/>
          </w:tcPr>
          <w:p w:rsidR="008E7D53" w:rsidRDefault="0098666E">
            <w:pPr>
              <w:ind w:firstLineChars="0" w:firstLine="0"/>
              <w:jc w:val="center"/>
              <w:textAlignment w:val="baseline"/>
              <w:rPr>
                <w:sz w:val="20"/>
              </w:rPr>
            </w:pPr>
            <w:r>
              <w:rPr>
                <w:rFonts w:hint="eastAsia"/>
                <w:sz w:val="20"/>
              </w:rPr>
              <w:t>实际应用、文献</w:t>
            </w:r>
          </w:p>
        </w:tc>
      </w:tr>
      <w:tr w:rsidR="008E7D53">
        <w:trPr>
          <w:jc w:val="center"/>
        </w:trPr>
        <w:tc>
          <w:tcPr>
            <w:tcW w:w="532" w:type="dxa"/>
            <w:vAlign w:val="center"/>
          </w:tcPr>
          <w:p w:rsidR="008E7D53" w:rsidRDefault="0098666E">
            <w:pPr>
              <w:ind w:firstLineChars="0" w:firstLine="0"/>
              <w:jc w:val="center"/>
              <w:textAlignment w:val="baseline"/>
              <w:rPr>
                <w:sz w:val="20"/>
              </w:rPr>
            </w:pPr>
            <w:r>
              <w:rPr>
                <w:sz w:val="20"/>
              </w:rPr>
              <w:t>4</w:t>
            </w:r>
          </w:p>
        </w:tc>
        <w:tc>
          <w:tcPr>
            <w:tcW w:w="1762" w:type="dxa"/>
            <w:vAlign w:val="center"/>
          </w:tcPr>
          <w:p w:rsidR="008E7D53" w:rsidRDefault="0098666E">
            <w:pPr>
              <w:ind w:firstLineChars="0" w:firstLine="0"/>
              <w:jc w:val="center"/>
              <w:textAlignment w:val="baseline"/>
              <w:rPr>
                <w:sz w:val="20"/>
              </w:rPr>
            </w:pPr>
            <w:r>
              <w:rPr>
                <w:rFonts w:hint="eastAsia"/>
                <w:sz w:val="20"/>
              </w:rPr>
              <w:t>单位耗氧污染物削减电耗（</w:t>
            </w:r>
            <w:r>
              <w:rPr>
                <w:sz w:val="20"/>
              </w:rPr>
              <w:t>kW·h/kg</w:t>
            </w:r>
            <w:r>
              <w:rPr>
                <w:rFonts w:hint="eastAsia"/>
                <w:sz w:val="20"/>
              </w:rPr>
              <w:t>）</w:t>
            </w:r>
          </w:p>
        </w:tc>
        <w:tc>
          <w:tcPr>
            <w:tcW w:w="4505" w:type="dxa"/>
            <w:vAlign w:val="center"/>
          </w:tcPr>
          <w:p w:rsidR="008E7D53" w:rsidRDefault="0098666E">
            <w:pPr>
              <w:ind w:firstLineChars="0" w:firstLine="0"/>
              <w:jc w:val="center"/>
              <w:textAlignment w:val="baseline"/>
              <w:rPr>
                <w:sz w:val="20"/>
              </w:rPr>
            </w:pPr>
            <w:r>
              <w:rPr>
                <w:rFonts w:hint="eastAsia"/>
                <w:sz w:val="20"/>
              </w:rPr>
              <w:t>电耗</w:t>
            </w:r>
            <w:r>
              <w:rPr>
                <w:rFonts w:hint="eastAsia"/>
                <w:sz w:val="20"/>
              </w:rPr>
              <w:t>/</w:t>
            </w:r>
            <w:r>
              <w:rPr>
                <w:rFonts w:hint="eastAsia"/>
                <w:sz w:val="20"/>
              </w:rPr>
              <w:t>（处理水量</w:t>
            </w:r>
            <w:r>
              <w:rPr>
                <w:sz w:val="20"/>
              </w:rPr>
              <w:sym w:font="Wingdings 2" w:char="F0CD"/>
            </w:r>
            <w:r>
              <w:rPr>
                <w:rFonts w:hint="eastAsia"/>
                <w:sz w:val="20"/>
              </w:rPr>
              <w:t>（（进水</w:t>
            </w:r>
            <w:r>
              <w:rPr>
                <w:rFonts w:hint="eastAsia"/>
                <w:sz w:val="20"/>
              </w:rPr>
              <w:t>BOD-</w:t>
            </w:r>
            <w:r>
              <w:rPr>
                <w:rFonts w:hint="eastAsia"/>
                <w:sz w:val="20"/>
              </w:rPr>
              <w:t>出水</w:t>
            </w:r>
            <w:r>
              <w:rPr>
                <w:rFonts w:hint="eastAsia"/>
                <w:sz w:val="20"/>
              </w:rPr>
              <w:t>BOD</w:t>
            </w:r>
            <w:r>
              <w:rPr>
                <w:rFonts w:hint="eastAsia"/>
                <w:sz w:val="20"/>
              </w:rPr>
              <w:t>）</w:t>
            </w:r>
            <w:r>
              <w:rPr>
                <w:rFonts w:hint="eastAsia"/>
                <w:sz w:val="20"/>
              </w:rPr>
              <w:t>+</w:t>
            </w:r>
            <w:r>
              <w:rPr>
                <w:sz w:val="20"/>
              </w:rPr>
              <w:t>4.57</w:t>
            </w:r>
            <w:r>
              <w:rPr>
                <w:rFonts w:hint="eastAsia"/>
                <w:sz w:val="20"/>
              </w:rPr>
              <w:t>（进水</w:t>
            </w:r>
            <w:r>
              <w:rPr>
                <w:rFonts w:hint="eastAsia"/>
                <w:sz w:val="20"/>
              </w:rPr>
              <w:t>NH4+-N-</w:t>
            </w:r>
            <w:r>
              <w:rPr>
                <w:rFonts w:hint="eastAsia"/>
                <w:sz w:val="20"/>
              </w:rPr>
              <w:t>出水</w:t>
            </w:r>
            <w:r>
              <w:rPr>
                <w:rFonts w:hint="eastAsia"/>
                <w:sz w:val="20"/>
              </w:rPr>
              <w:t>NH4+-N</w:t>
            </w:r>
            <w:r>
              <w:rPr>
                <w:rFonts w:hint="eastAsia"/>
                <w:sz w:val="20"/>
              </w:rPr>
              <w:t>）））</w:t>
            </w:r>
          </w:p>
        </w:tc>
        <w:tc>
          <w:tcPr>
            <w:tcW w:w="1843" w:type="dxa"/>
            <w:vAlign w:val="center"/>
          </w:tcPr>
          <w:p w:rsidR="008E7D53" w:rsidRDefault="0098666E">
            <w:pPr>
              <w:ind w:firstLineChars="0" w:firstLine="0"/>
              <w:jc w:val="center"/>
              <w:textAlignment w:val="baseline"/>
              <w:rPr>
                <w:sz w:val="20"/>
              </w:rPr>
            </w:pPr>
            <w:r>
              <w:rPr>
                <w:rFonts w:hint="eastAsia"/>
                <w:sz w:val="20"/>
              </w:rPr>
              <w:t>实际应用、文献</w:t>
            </w:r>
          </w:p>
        </w:tc>
      </w:tr>
      <w:tr w:rsidR="008E7D53">
        <w:trPr>
          <w:jc w:val="center"/>
        </w:trPr>
        <w:tc>
          <w:tcPr>
            <w:tcW w:w="532" w:type="dxa"/>
            <w:vAlign w:val="center"/>
          </w:tcPr>
          <w:p w:rsidR="008E7D53" w:rsidRDefault="0098666E">
            <w:pPr>
              <w:ind w:firstLineChars="0" w:firstLine="0"/>
              <w:jc w:val="center"/>
              <w:textAlignment w:val="baseline"/>
              <w:rPr>
                <w:sz w:val="20"/>
              </w:rPr>
            </w:pPr>
            <w:r>
              <w:rPr>
                <w:sz w:val="20"/>
              </w:rPr>
              <w:t>5</w:t>
            </w:r>
          </w:p>
        </w:tc>
        <w:tc>
          <w:tcPr>
            <w:tcW w:w="1762" w:type="dxa"/>
            <w:vAlign w:val="center"/>
          </w:tcPr>
          <w:p w:rsidR="008E7D53" w:rsidRDefault="0098666E">
            <w:pPr>
              <w:ind w:firstLineChars="0" w:firstLine="0"/>
              <w:jc w:val="center"/>
              <w:textAlignment w:val="baseline"/>
              <w:rPr>
                <w:sz w:val="20"/>
              </w:rPr>
            </w:pPr>
            <w:r>
              <w:rPr>
                <w:rFonts w:hint="eastAsia"/>
                <w:sz w:val="20"/>
              </w:rPr>
              <w:t>比能耗</w:t>
            </w:r>
          </w:p>
        </w:tc>
        <w:tc>
          <w:tcPr>
            <w:tcW w:w="4505" w:type="dxa"/>
            <w:vAlign w:val="center"/>
          </w:tcPr>
          <w:p w:rsidR="008E7D53" w:rsidRDefault="0098666E">
            <w:pPr>
              <w:ind w:firstLineChars="0" w:firstLine="0"/>
              <w:jc w:val="center"/>
              <w:textAlignment w:val="baseline"/>
              <w:rPr>
                <w:sz w:val="20"/>
              </w:rPr>
            </w:pPr>
            <w:r>
              <w:rPr>
                <w:rFonts w:hint="eastAsia"/>
                <w:sz w:val="20"/>
              </w:rPr>
              <w:t>电量</w:t>
            </w:r>
            <w:r>
              <w:rPr>
                <w:rFonts w:hint="eastAsia"/>
                <w:sz w:val="20"/>
              </w:rPr>
              <w:t>/</w:t>
            </w:r>
            <w:r>
              <w:rPr>
                <w:rFonts w:hint="eastAsia"/>
                <w:sz w:val="20"/>
              </w:rPr>
              <w:t>（处理水量</w:t>
            </w:r>
            <w:r>
              <w:rPr>
                <w:sz w:val="20"/>
              </w:rPr>
              <w:sym w:font="Wingdings 2" w:char="F0CD"/>
            </w:r>
            <w:r>
              <w:rPr>
                <w:rFonts w:hint="eastAsia"/>
                <w:sz w:val="20"/>
              </w:rPr>
              <w:t>（（进水</w:t>
            </w:r>
            <w:r>
              <w:rPr>
                <w:rFonts w:hint="eastAsia"/>
                <w:sz w:val="20"/>
              </w:rPr>
              <w:t>BOD-</w:t>
            </w:r>
            <w:r>
              <w:rPr>
                <w:rFonts w:hint="eastAsia"/>
                <w:sz w:val="20"/>
              </w:rPr>
              <w:t>出水</w:t>
            </w:r>
            <w:r>
              <w:rPr>
                <w:rFonts w:hint="eastAsia"/>
                <w:sz w:val="20"/>
              </w:rPr>
              <w:t>BOD</w:t>
            </w:r>
            <w:r>
              <w:rPr>
                <w:rFonts w:hint="eastAsia"/>
                <w:sz w:val="20"/>
              </w:rPr>
              <w:t>）</w:t>
            </w:r>
            <w:r>
              <w:rPr>
                <w:rFonts w:hint="eastAsia"/>
                <w:sz w:val="20"/>
              </w:rPr>
              <w:t>+</w:t>
            </w:r>
            <w:r>
              <w:rPr>
                <w:sz w:val="20"/>
              </w:rPr>
              <w:t>1.71</w:t>
            </w:r>
            <w:r>
              <w:rPr>
                <w:rFonts w:hint="eastAsia"/>
                <w:sz w:val="20"/>
              </w:rPr>
              <w:t>（进水</w:t>
            </w:r>
            <w:r>
              <w:rPr>
                <w:sz w:val="20"/>
              </w:rPr>
              <w:t>TKN</w:t>
            </w:r>
            <w:r>
              <w:rPr>
                <w:rFonts w:hint="eastAsia"/>
                <w:sz w:val="20"/>
              </w:rPr>
              <w:t>-</w:t>
            </w:r>
            <w:r>
              <w:rPr>
                <w:rFonts w:hint="eastAsia"/>
                <w:sz w:val="20"/>
              </w:rPr>
              <w:t>出水</w:t>
            </w:r>
            <w:r>
              <w:rPr>
                <w:sz w:val="20"/>
              </w:rPr>
              <w:t>TKN</w:t>
            </w:r>
            <w:r>
              <w:rPr>
                <w:rFonts w:hint="eastAsia"/>
                <w:sz w:val="20"/>
              </w:rPr>
              <w:t>）</w:t>
            </w:r>
            <w:r>
              <w:rPr>
                <w:rFonts w:hint="eastAsia"/>
                <w:sz w:val="20"/>
              </w:rPr>
              <w:t>-</w:t>
            </w:r>
            <w:r>
              <w:rPr>
                <w:sz w:val="20"/>
              </w:rPr>
              <w:t>2.86</w:t>
            </w:r>
            <w:r>
              <w:rPr>
                <w:rFonts w:hint="eastAsia"/>
                <w:sz w:val="20"/>
              </w:rPr>
              <w:t>（进水</w:t>
            </w:r>
            <w:r>
              <w:rPr>
                <w:sz w:val="20"/>
              </w:rPr>
              <w:t>NO</w:t>
            </w:r>
            <w:r>
              <w:rPr>
                <w:sz w:val="20"/>
                <w:vertAlign w:val="subscript"/>
              </w:rPr>
              <w:t>3</w:t>
            </w:r>
            <w:r>
              <w:rPr>
                <w:sz w:val="20"/>
              </w:rPr>
              <w:t>-N</w:t>
            </w:r>
            <w:r>
              <w:rPr>
                <w:rFonts w:hint="eastAsia"/>
                <w:sz w:val="20"/>
              </w:rPr>
              <w:t>-</w:t>
            </w:r>
            <w:r>
              <w:rPr>
                <w:rFonts w:hint="eastAsia"/>
                <w:sz w:val="20"/>
              </w:rPr>
              <w:t>出水</w:t>
            </w:r>
            <w:r>
              <w:rPr>
                <w:sz w:val="20"/>
              </w:rPr>
              <w:t>NO</w:t>
            </w:r>
            <w:r>
              <w:rPr>
                <w:sz w:val="20"/>
                <w:vertAlign w:val="subscript"/>
              </w:rPr>
              <w:t>3</w:t>
            </w:r>
            <w:r>
              <w:rPr>
                <w:sz w:val="20"/>
              </w:rPr>
              <w:t>-N</w:t>
            </w:r>
            <w:r>
              <w:rPr>
                <w:rFonts w:hint="eastAsia"/>
                <w:sz w:val="20"/>
              </w:rPr>
              <w:t>）</w:t>
            </w:r>
            <w:r>
              <w:rPr>
                <w:rFonts w:hint="eastAsia"/>
                <w:sz w:val="20"/>
              </w:rPr>
              <w:t>-</w:t>
            </w:r>
            <w:r>
              <w:rPr>
                <w:sz w:val="20"/>
              </w:rPr>
              <w:t>1.71</w:t>
            </w:r>
            <w:r>
              <w:rPr>
                <w:rFonts w:hint="eastAsia"/>
                <w:sz w:val="20"/>
              </w:rPr>
              <w:t>（进水</w:t>
            </w:r>
            <w:r>
              <w:rPr>
                <w:rFonts w:hint="eastAsia"/>
                <w:sz w:val="20"/>
              </w:rPr>
              <w:t>N</w:t>
            </w:r>
            <w:r>
              <w:rPr>
                <w:sz w:val="20"/>
              </w:rPr>
              <w:t>O</w:t>
            </w:r>
            <w:r>
              <w:rPr>
                <w:sz w:val="20"/>
                <w:vertAlign w:val="subscript"/>
              </w:rPr>
              <w:t>2</w:t>
            </w:r>
            <w:r>
              <w:rPr>
                <w:sz w:val="20"/>
              </w:rPr>
              <w:t>-N</w:t>
            </w:r>
            <w:r>
              <w:rPr>
                <w:rFonts w:hint="eastAsia"/>
                <w:sz w:val="20"/>
              </w:rPr>
              <w:t>-</w:t>
            </w:r>
            <w:r>
              <w:rPr>
                <w:rFonts w:hint="eastAsia"/>
                <w:sz w:val="20"/>
              </w:rPr>
              <w:t>出水</w:t>
            </w:r>
            <w:r>
              <w:rPr>
                <w:rFonts w:hint="eastAsia"/>
                <w:sz w:val="20"/>
              </w:rPr>
              <w:t>N</w:t>
            </w:r>
            <w:r>
              <w:rPr>
                <w:sz w:val="20"/>
              </w:rPr>
              <w:t>O</w:t>
            </w:r>
            <w:r>
              <w:rPr>
                <w:sz w:val="20"/>
                <w:vertAlign w:val="subscript"/>
              </w:rPr>
              <w:t>2</w:t>
            </w:r>
            <w:r>
              <w:rPr>
                <w:sz w:val="20"/>
              </w:rPr>
              <w:t>-N</w:t>
            </w:r>
            <w:r>
              <w:rPr>
                <w:rFonts w:hint="eastAsia"/>
                <w:sz w:val="20"/>
              </w:rPr>
              <w:t>）</w:t>
            </w:r>
            <w:r>
              <w:rPr>
                <w:sz w:val="20"/>
              </w:rPr>
              <w:t>-</w:t>
            </w:r>
            <w:r>
              <w:rPr>
                <w:rFonts w:hint="eastAsia"/>
                <w:sz w:val="20"/>
              </w:rPr>
              <w:t>（进水</w:t>
            </w:r>
            <w:r>
              <w:rPr>
                <w:rFonts w:hint="eastAsia"/>
                <w:sz w:val="20"/>
              </w:rPr>
              <w:t>D</w:t>
            </w:r>
            <w:r>
              <w:rPr>
                <w:sz w:val="20"/>
              </w:rPr>
              <w:t>O</w:t>
            </w:r>
            <w:r>
              <w:rPr>
                <w:rFonts w:hint="eastAsia"/>
                <w:sz w:val="20"/>
              </w:rPr>
              <w:t>-</w:t>
            </w:r>
            <w:r>
              <w:rPr>
                <w:rFonts w:hint="eastAsia"/>
                <w:sz w:val="20"/>
              </w:rPr>
              <w:t>出水</w:t>
            </w:r>
            <w:r>
              <w:rPr>
                <w:rFonts w:hint="eastAsia"/>
                <w:sz w:val="20"/>
              </w:rPr>
              <w:t>D</w:t>
            </w:r>
            <w:r>
              <w:rPr>
                <w:sz w:val="20"/>
              </w:rPr>
              <w:t>O</w:t>
            </w:r>
            <w:r>
              <w:rPr>
                <w:rFonts w:hint="eastAsia"/>
                <w:sz w:val="20"/>
              </w:rPr>
              <w:t>）））</w:t>
            </w:r>
          </w:p>
        </w:tc>
        <w:tc>
          <w:tcPr>
            <w:tcW w:w="1843" w:type="dxa"/>
            <w:vAlign w:val="center"/>
          </w:tcPr>
          <w:p w:rsidR="008E7D53" w:rsidRDefault="0098666E">
            <w:pPr>
              <w:ind w:firstLineChars="0" w:firstLine="0"/>
              <w:jc w:val="center"/>
              <w:textAlignment w:val="baseline"/>
              <w:rPr>
                <w:sz w:val="20"/>
              </w:rPr>
            </w:pPr>
            <w:r>
              <w:rPr>
                <w:rFonts w:hint="eastAsia"/>
                <w:sz w:val="20"/>
              </w:rPr>
              <w:t>国际标准</w:t>
            </w:r>
          </w:p>
        </w:tc>
      </w:tr>
      <w:tr w:rsidR="008E7D53">
        <w:trPr>
          <w:jc w:val="center"/>
        </w:trPr>
        <w:tc>
          <w:tcPr>
            <w:tcW w:w="532" w:type="dxa"/>
            <w:vAlign w:val="center"/>
          </w:tcPr>
          <w:p w:rsidR="008E7D53" w:rsidRDefault="0098666E">
            <w:pPr>
              <w:ind w:firstLineChars="0" w:firstLine="0"/>
              <w:jc w:val="center"/>
              <w:textAlignment w:val="baseline"/>
              <w:rPr>
                <w:sz w:val="20"/>
              </w:rPr>
            </w:pPr>
            <w:r>
              <w:rPr>
                <w:sz w:val="20"/>
              </w:rPr>
              <w:t>6</w:t>
            </w:r>
          </w:p>
        </w:tc>
        <w:tc>
          <w:tcPr>
            <w:tcW w:w="1762" w:type="dxa"/>
            <w:vAlign w:val="center"/>
          </w:tcPr>
          <w:p w:rsidR="008E7D53" w:rsidRDefault="0098666E">
            <w:pPr>
              <w:ind w:firstLineChars="0" w:firstLine="0"/>
              <w:textAlignment w:val="baseline"/>
              <w:rPr>
                <w:sz w:val="20"/>
              </w:rPr>
            </w:pPr>
            <w:r>
              <w:rPr>
                <w:rFonts w:hint="eastAsia"/>
                <w:sz w:val="20"/>
              </w:rPr>
              <w:t>每千克总污染物去除电耗</w:t>
            </w:r>
          </w:p>
        </w:tc>
        <w:tc>
          <w:tcPr>
            <w:tcW w:w="4505" w:type="dxa"/>
            <w:vAlign w:val="center"/>
          </w:tcPr>
          <w:p w:rsidR="008E7D53" w:rsidRDefault="0098666E">
            <w:pPr>
              <w:ind w:firstLineChars="0" w:firstLine="0"/>
              <w:jc w:val="center"/>
              <w:textAlignment w:val="baseline"/>
              <w:rPr>
                <w:sz w:val="20"/>
              </w:rPr>
            </w:pPr>
            <w:r>
              <w:rPr>
                <w:rFonts w:hint="eastAsia"/>
                <w:sz w:val="20"/>
              </w:rPr>
              <w:t>电耗</w:t>
            </w:r>
            <w:r>
              <w:rPr>
                <w:rFonts w:hint="eastAsia"/>
                <w:sz w:val="20"/>
              </w:rPr>
              <w:t>/</w:t>
            </w:r>
            <w:r>
              <w:rPr>
                <w:rFonts w:hint="eastAsia"/>
                <w:sz w:val="20"/>
              </w:rPr>
              <w:t>（处理水量</w:t>
            </w:r>
            <w:r>
              <w:rPr>
                <w:sz w:val="20"/>
              </w:rPr>
              <w:sym w:font="Wingdings 2" w:char="F0CD"/>
            </w:r>
            <w:r>
              <w:rPr>
                <w:rFonts w:hint="eastAsia"/>
                <w:sz w:val="20"/>
              </w:rPr>
              <w:t>（（进水</w:t>
            </w:r>
            <w:r>
              <w:rPr>
                <w:rFonts w:hint="eastAsia"/>
                <w:sz w:val="20"/>
              </w:rPr>
              <w:t>COD-</w:t>
            </w:r>
            <w:r>
              <w:rPr>
                <w:rFonts w:hint="eastAsia"/>
                <w:sz w:val="20"/>
              </w:rPr>
              <w:t>出水</w:t>
            </w:r>
            <w:r>
              <w:rPr>
                <w:rFonts w:hint="eastAsia"/>
                <w:sz w:val="20"/>
              </w:rPr>
              <w:t>C</w:t>
            </w:r>
            <w:r>
              <w:rPr>
                <w:sz w:val="20"/>
              </w:rPr>
              <w:t>OD</w:t>
            </w:r>
            <w:r>
              <w:rPr>
                <w:rFonts w:hint="eastAsia"/>
                <w:sz w:val="20"/>
              </w:rPr>
              <w:t>）</w:t>
            </w:r>
            <w:r>
              <w:rPr>
                <w:rFonts w:hint="eastAsia"/>
                <w:sz w:val="20"/>
              </w:rPr>
              <w:t>+2</w:t>
            </w:r>
            <w:r>
              <w:rPr>
                <w:rFonts w:hint="eastAsia"/>
                <w:sz w:val="20"/>
              </w:rPr>
              <w:t>（进水</w:t>
            </w:r>
            <w:r>
              <w:rPr>
                <w:sz w:val="20"/>
              </w:rPr>
              <w:t>BOD</w:t>
            </w:r>
            <w:r>
              <w:rPr>
                <w:rFonts w:hint="eastAsia"/>
                <w:sz w:val="20"/>
              </w:rPr>
              <w:t>-</w:t>
            </w:r>
            <w:r>
              <w:rPr>
                <w:rFonts w:hint="eastAsia"/>
                <w:sz w:val="20"/>
              </w:rPr>
              <w:t>出水</w:t>
            </w:r>
            <w:r>
              <w:rPr>
                <w:sz w:val="20"/>
              </w:rPr>
              <w:t>BOD</w:t>
            </w:r>
            <w:r>
              <w:rPr>
                <w:rFonts w:hint="eastAsia"/>
                <w:sz w:val="20"/>
              </w:rPr>
              <w:t>）</w:t>
            </w:r>
            <w:r>
              <w:rPr>
                <w:rFonts w:hint="eastAsia"/>
                <w:sz w:val="20"/>
              </w:rPr>
              <w:t>+</w:t>
            </w:r>
            <w:r>
              <w:rPr>
                <w:sz w:val="20"/>
              </w:rPr>
              <w:t>20</w:t>
            </w:r>
            <w:r>
              <w:rPr>
                <w:rFonts w:hint="eastAsia"/>
                <w:sz w:val="20"/>
              </w:rPr>
              <w:t>（进水</w:t>
            </w:r>
            <w:r>
              <w:rPr>
                <w:sz w:val="20"/>
              </w:rPr>
              <w:t>TN</w:t>
            </w:r>
            <w:r>
              <w:rPr>
                <w:rFonts w:hint="eastAsia"/>
                <w:sz w:val="20"/>
              </w:rPr>
              <w:t>-</w:t>
            </w:r>
            <w:r>
              <w:rPr>
                <w:rFonts w:hint="eastAsia"/>
                <w:sz w:val="20"/>
              </w:rPr>
              <w:t>出水</w:t>
            </w:r>
            <w:r>
              <w:rPr>
                <w:sz w:val="20"/>
              </w:rPr>
              <w:t>TN</w:t>
            </w:r>
            <w:r>
              <w:rPr>
                <w:rFonts w:hint="eastAsia"/>
                <w:sz w:val="20"/>
              </w:rPr>
              <w:t>）</w:t>
            </w:r>
            <w:r>
              <w:rPr>
                <w:rFonts w:hint="eastAsia"/>
                <w:sz w:val="20"/>
              </w:rPr>
              <w:t>+100</w:t>
            </w:r>
            <w:r>
              <w:rPr>
                <w:rFonts w:hint="eastAsia"/>
                <w:sz w:val="20"/>
              </w:rPr>
              <w:t>（进水</w:t>
            </w:r>
            <w:r>
              <w:rPr>
                <w:rFonts w:hint="eastAsia"/>
                <w:sz w:val="20"/>
              </w:rPr>
              <w:t>TP-</w:t>
            </w:r>
            <w:r>
              <w:rPr>
                <w:rFonts w:hint="eastAsia"/>
                <w:sz w:val="20"/>
              </w:rPr>
              <w:t>出水</w:t>
            </w:r>
            <w:r>
              <w:rPr>
                <w:sz w:val="20"/>
              </w:rPr>
              <w:t>TP</w:t>
            </w:r>
            <w:r>
              <w:rPr>
                <w:rFonts w:hint="eastAsia"/>
                <w:sz w:val="20"/>
              </w:rPr>
              <w:t>）</w:t>
            </w:r>
            <w:r>
              <w:rPr>
                <w:rFonts w:hint="eastAsia"/>
                <w:sz w:val="20"/>
              </w:rPr>
              <w:t>2</w:t>
            </w:r>
            <w:r>
              <w:rPr>
                <w:rFonts w:hint="eastAsia"/>
                <w:sz w:val="20"/>
              </w:rPr>
              <w:t>（进水</w:t>
            </w:r>
            <w:r>
              <w:rPr>
                <w:sz w:val="20"/>
              </w:rPr>
              <w:t>SS</w:t>
            </w:r>
            <w:r>
              <w:rPr>
                <w:rFonts w:hint="eastAsia"/>
                <w:sz w:val="20"/>
              </w:rPr>
              <w:t>-</w:t>
            </w:r>
            <w:r>
              <w:rPr>
                <w:rFonts w:hint="eastAsia"/>
                <w:sz w:val="20"/>
              </w:rPr>
              <w:t>出水</w:t>
            </w:r>
            <w:r>
              <w:rPr>
                <w:sz w:val="20"/>
              </w:rPr>
              <w:t>SS</w:t>
            </w:r>
            <w:r>
              <w:rPr>
                <w:rFonts w:hint="eastAsia"/>
                <w:sz w:val="20"/>
              </w:rPr>
              <w:t>）））</w:t>
            </w:r>
          </w:p>
        </w:tc>
        <w:tc>
          <w:tcPr>
            <w:tcW w:w="1843" w:type="dxa"/>
            <w:vAlign w:val="center"/>
          </w:tcPr>
          <w:p w:rsidR="008E7D53" w:rsidRDefault="0098666E">
            <w:pPr>
              <w:ind w:firstLineChars="0" w:firstLine="0"/>
              <w:jc w:val="center"/>
              <w:textAlignment w:val="baseline"/>
              <w:rPr>
                <w:sz w:val="20"/>
              </w:rPr>
            </w:pPr>
            <w:r>
              <w:rPr>
                <w:rFonts w:hint="eastAsia"/>
                <w:sz w:val="20"/>
              </w:rPr>
              <w:t>国际水质协会提出的污水处理水质基准、文献</w:t>
            </w:r>
          </w:p>
        </w:tc>
      </w:tr>
    </w:tbl>
    <w:p w:rsidR="008E7D53" w:rsidRDefault="0098666E">
      <w:pPr>
        <w:ind w:firstLine="480"/>
        <w:textAlignment w:val="baseline"/>
      </w:pPr>
      <w:r>
        <w:rPr>
          <w:rFonts w:hint="eastAsia"/>
        </w:rPr>
        <w:t>为更好的选择科学合理、实用且适用的能耗评价指标，对以上污水处理厂能耗评价指标优缺点对比情况如下：</w:t>
      </w:r>
    </w:p>
    <w:p w:rsidR="008E7D53" w:rsidRDefault="0098666E">
      <w:pPr>
        <w:numPr>
          <w:ilvl w:val="0"/>
          <w:numId w:val="7"/>
        </w:numPr>
        <w:ind w:firstLine="480"/>
        <w:textAlignment w:val="baseline"/>
      </w:pPr>
      <w:r>
        <w:rPr>
          <w:rFonts w:hint="eastAsia"/>
        </w:rPr>
        <w:t>单位水量电耗：应用广泛，仅考虑处理水量与电耗的关系。</w:t>
      </w:r>
    </w:p>
    <w:p w:rsidR="008E7D53" w:rsidRDefault="0098666E">
      <w:pPr>
        <w:ind w:firstLine="480"/>
        <w:textAlignment w:val="baseline"/>
        <w:rPr>
          <w:sz w:val="20"/>
        </w:rPr>
      </w:pPr>
      <w:r>
        <w:rPr>
          <w:rFonts w:hint="eastAsia"/>
        </w:rPr>
        <w:t>2</w:t>
      </w:r>
      <w:r>
        <w:rPr>
          <w:rFonts w:hint="eastAsia"/>
        </w:rPr>
        <w:t>）</w:t>
      </w:r>
      <w:r>
        <w:rPr>
          <w:rFonts w:hint="eastAsia"/>
        </w:rPr>
        <w:t>单位</w:t>
      </w:r>
      <w:r>
        <w:rPr>
          <w:rFonts w:hint="eastAsia"/>
        </w:rPr>
        <w:t>COD</w:t>
      </w:r>
      <w:r>
        <w:rPr>
          <w:rFonts w:hint="eastAsia"/>
        </w:rPr>
        <w:t>削减电耗：应用广泛，仅考虑单一污染物</w:t>
      </w:r>
      <w:r>
        <w:rPr>
          <w:rFonts w:hint="eastAsia"/>
        </w:rPr>
        <w:t>COD</w:t>
      </w:r>
      <w:r>
        <w:rPr>
          <w:rFonts w:hint="eastAsia"/>
        </w:rPr>
        <w:t>与电耗的关系。</w:t>
      </w:r>
    </w:p>
    <w:p w:rsidR="008E7D53" w:rsidRDefault="0098666E">
      <w:pPr>
        <w:ind w:firstLine="480"/>
        <w:textAlignment w:val="baseline"/>
        <w:rPr>
          <w:sz w:val="20"/>
        </w:rPr>
      </w:pPr>
      <w:r>
        <w:rPr>
          <w:rFonts w:hint="eastAsia"/>
        </w:rPr>
        <w:lastRenderedPageBreak/>
        <w:t>3</w:t>
      </w:r>
      <w:r>
        <w:rPr>
          <w:rFonts w:hint="eastAsia"/>
        </w:rPr>
        <w:t>）单位</w:t>
      </w:r>
      <w:r>
        <w:t>B</w:t>
      </w:r>
      <w:r>
        <w:rPr>
          <w:rFonts w:hint="eastAsia"/>
        </w:rPr>
        <w:t>OD</w:t>
      </w:r>
      <w:r>
        <w:rPr>
          <w:rFonts w:hint="eastAsia"/>
        </w:rPr>
        <w:t>削减电耗：应用广泛，仅考虑单一污染物</w:t>
      </w:r>
      <w:r>
        <w:t>BOD</w:t>
      </w:r>
      <w:r>
        <w:rPr>
          <w:rFonts w:hint="eastAsia"/>
        </w:rPr>
        <w:t>与电耗的关系。</w:t>
      </w:r>
    </w:p>
    <w:p w:rsidR="008E7D53" w:rsidRDefault="0098666E">
      <w:pPr>
        <w:ind w:firstLine="480"/>
        <w:textAlignment w:val="baseline"/>
        <w:rPr>
          <w:sz w:val="20"/>
        </w:rPr>
      </w:pPr>
      <w:r>
        <w:rPr>
          <w:rFonts w:hint="eastAsia"/>
        </w:rPr>
        <w:t>4</w:t>
      </w:r>
      <w:r>
        <w:rPr>
          <w:rFonts w:hint="eastAsia"/>
        </w:rPr>
        <w:t>）单位耗氧污染物削减电耗：应用较广泛，仅考虑耗氧污染物（</w:t>
      </w:r>
      <w:r>
        <w:rPr>
          <w:rFonts w:hint="eastAsia"/>
        </w:rPr>
        <w:t>BOD</w:t>
      </w:r>
      <w:r>
        <w:rPr>
          <w:rFonts w:hint="eastAsia"/>
        </w:rPr>
        <w:t>和氨氮）与电耗的关系。</w:t>
      </w:r>
    </w:p>
    <w:p w:rsidR="008E7D53" w:rsidRDefault="0098666E">
      <w:pPr>
        <w:ind w:firstLine="480"/>
        <w:textAlignment w:val="baseline"/>
        <w:rPr>
          <w:sz w:val="20"/>
        </w:rPr>
      </w:pPr>
      <w:r>
        <w:rPr>
          <w:rFonts w:hint="eastAsia"/>
        </w:rPr>
        <w:t>5</w:t>
      </w:r>
      <w:r>
        <w:rPr>
          <w:rFonts w:hint="eastAsia"/>
        </w:rPr>
        <w:t>）比能耗：国内目前尚无应用，考虑了污水处理厂多项污染物指标与能耗的关系，但计算中涉及污染物指标为污水处理厂非常规监测指标，且包含污泥中污染物指标，实际应用和可操作性低。</w:t>
      </w:r>
    </w:p>
    <w:p w:rsidR="008E7D53" w:rsidRDefault="0098666E">
      <w:pPr>
        <w:ind w:firstLine="480"/>
        <w:textAlignment w:val="baseline"/>
        <w:rPr>
          <w:sz w:val="20"/>
        </w:rPr>
      </w:pPr>
      <w:r>
        <w:rPr>
          <w:rFonts w:hint="eastAsia"/>
        </w:rPr>
        <w:t>6</w:t>
      </w:r>
      <w:r>
        <w:rPr>
          <w:rFonts w:hint="eastAsia"/>
        </w:rPr>
        <w:t>）每千克总污染物去除电耗：这一评价指标中“总污染物”对应的污染物指标和各指标权重（总污染物</w:t>
      </w:r>
      <w:r>
        <w:rPr>
          <w:rFonts w:hint="eastAsia"/>
        </w:rPr>
        <w:t>=COD+BOD+20TN+100TP+2SS</w:t>
      </w:r>
      <w:r>
        <w:rPr>
          <w:rFonts w:hint="eastAsia"/>
        </w:rPr>
        <w:t>）由国际水质协会提出，其经过深入的研究分析，获得了各</w:t>
      </w:r>
      <w:r>
        <w:rPr>
          <w:rFonts w:hint="eastAsia"/>
        </w:rPr>
        <w:t>指标用于统一计算时的权重关系，弥补了目前仅考虑单一污染物去除电耗（如，单位</w:t>
      </w:r>
      <w:r>
        <w:rPr>
          <w:rFonts w:hint="eastAsia"/>
        </w:rPr>
        <w:t>COD</w:t>
      </w:r>
      <w:r>
        <w:rPr>
          <w:rFonts w:hint="eastAsia"/>
        </w:rPr>
        <w:t>去除电耗、单位</w:t>
      </w:r>
      <w:r>
        <w:rPr>
          <w:rFonts w:hint="eastAsia"/>
        </w:rPr>
        <w:t>B</w:t>
      </w:r>
      <w:r>
        <w:t>OD</w:t>
      </w:r>
      <w:r>
        <w:rPr>
          <w:rFonts w:hint="eastAsia"/>
        </w:rPr>
        <w:t>去除电耗）存在的不足。并且，国内有采用该公式对污水处理厂能耗进行了详细研究和分析。该公式考虑了污水处理厂多项主要污染物指标与电耗的关系，将污水处理厂</w:t>
      </w:r>
      <w:r>
        <w:rPr>
          <w:rFonts w:hint="eastAsia"/>
        </w:rPr>
        <w:t>C</w:t>
      </w:r>
      <w:r>
        <w:t>OD</w:t>
      </w:r>
      <w:r>
        <w:rPr>
          <w:rFonts w:hint="eastAsia"/>
        </w:rPr>
        <w:t>、</w:t>
      </w:r>
      <w:r>
        <w:rPr>
          <w:rFonts w:hint="eastAsia"/>
        </w:rPr>
        <w:t>B</w:t>
      </w:r>
      <w:r>
        <w:t>OD</w:t>
      </w:r>
      <w:r>
        <w:rPr>
          <w:rFonts w:hint="eastAsia"/>
        </w:rPr>
        <w:t>、</w:t>
      </w:r>
      <w:r>
        <w:rPr>
          <w:rFonts w:hint="eastAsia"/>
        </w:rPr>
        <w:t>T</w:t>
      </w:r>
      <w:r>
        <w:t>N</w:t>
      </w:r>
      <w:r>
        <w:rPr>
          <w:rFonts w:hint="eastAsia"/>
        </w:rPr>
        <w:t>（含氨氮）、</w:t>
      </w:r>
      <w:r>
        <w:rPr>
          <w:rFonts w:hint="eastAsia"/>
        </w:rPr>
        <w:t>T</w:t>
      </w:r>
      <w:r>
        <w:t>P</w:t>
      </w:r>
      <w:r>
        <w:rPr>
          <w:rFonts w:hint="eastAsia"/>
        </w:rPr>
        <w:t>和</w:t>
      </w:r>
      <w:r>
        <w:rPr>
          <w:rFonts w:hint="eastAsia"/>
        </w:rPr>
        <w:t>S</w:t>
      </w:r>
      <w:r>
        <w:t>S</w:t>
      </w:r>
      <w:r>
        <w:rPr>
          <w:rFonts w:hint="eastAsia"/>
        </w:rPr>
        <w:t>指标根据权重系数整合在一起，便于不同进出水水质的污水处理厂之间进行横向比较。</w:t>
      </w:r>
    </w:p>
    <w:p w:rsidR="008E7D53" w:rsidRDefault="0098666E">
      <w:pPr>
        <w:ind w:firstLine="480"/>
        <w:textAlignment w:val="baseline"/>
      </w:pPr>
      <w:r>
        <w:rPr>
          <w:rFonts w:hint="eastAsia"/>
        </w:rPr>
        <w:t>目前，污水处理厂多以处理水量和单位污染物的去除量为电耗评估指标。我国基本以处理水量为电耗评估指标，且污水处理收费按水量为单位进行收费。污水处理厂的能耗与所去除的污染物密切相关。对于城镇污水处理厂，重点污染物指标为</w:t>
      </w:r>
      <w:r>
        <w:rPr>
          <w:rFonts w:hint="eastAsia"/>
        </w:rPr>
        <w:t>C</w:t>
      </w:r>
      <w:r>
        <w:t>OD</w:t>
      </w:r>
      <w:r>
        <w:rPr>
          <w:rFonts w:hint="eastAsia"/>
        </w:rPr>
        <w:t>、氨氮、总氮和总磷。为更全面的反应污水处理厂的能耗水平和污水处理能效，根据对上述统计指标的分析，本文件建议以“每千克总污染物去除电耗”作为能耗评价指标。</w:t>
      </w:r>
    </w:p>
    <w:p w:rsidR="008E7D53" w:rsidRDefault="0098666E">
      <w:pPr>
        <w:ind w:firstLineChars="0" w:firstLine="0"/>
        <w:textAlignment w:val="baseline"/>
        <w:rPr>
          <w:b/>
          <w:sz w:val="20"/>
        </w:rPr>
      </w:pPr>
      <w:r>
        <w:rPr>
          <w:b/>
        </w:rPr>
        <w:t>4.5.2</w:t>
      </w:r>
      <w:r>
        <w:rPr>
          <w:rFonts w:hint="eastAsia"/>
          <w:b/>
        </w:rPr>
        <w:t>总污染物的含义</w:t>
      </w:r>
    </w:p>
    <w:p w:rsidR="008E7D53" w:rsidRDefault="0098666E">
      <w:pPr>
        <w:ind w:firstLine="480"/>
        <w:textAlignment w:val="baseline"/>
        <w:rPr>
          <w:sz w:val="20"/>
        </w:rPr>
      </w:pPr>
      <w:bookmarkStart w:id="31" w:name="_Toc85919228"/>
      <w:r>
        <w:rPr>
          <w:rFonts w:hint="eastAsia"/>
        </w:rPr>
        <w:t>根据国际水质协会</w:t>
      </w:r>
      <w:r>
        <w:t>(IWAQ)</w:t>
      </w:r>
      <w:r>
        <w:rPr>
          <w:rFonts w:hint="eastAsia"/>
        </w:rPr>
        <w:t>提出的污水处理</w:t>
      </w:r>
      <w:r>
        <w:t xml:space="preserve"> Benchmark</w:t>
      </w:r>
      <w:r>
        <w:rPr>
          <w:rFonts w:hint="eastAsia"/>
        </w:rPr>
        <w:t>国际标准，总污染物主要以化学需氧量（</w:t>
      </w:r>
      <w:r>
        <w:rPr>
          <w:rFonts w:hint="eastAsia"/>
        </w:rPr>
        <w:t>COD</w:t>
      </w:r>
      <w:r>
        <w:rPr>
          <w:rFonts w:hint="eastAsia"/>
        </w:rPr>
        <w:t>）、生化需</w:t>
      </w:r>
      <w:r>
        <w:rPr>
          <w:rFonts w:hint="eastAsia"/>
        </w:rPr>
        <w:t>氧量（</w:t>
      </w:r>
      <w:r>
        <w:rPr>
          <w:rFonts w:hint="eastAsia"/>
        </w:rPr>
        <w:t>BOD</w:t>
      </w:r>
      <w:r>
        <w:rPr>
          <w:rFonts w:hint="eastAsia"/>
        </w:rPr>
        <w:t>）、总氮（</w:t>
      </w:r>
      <w:r>
        <w:rPr>
          <w:rFonts w:hint="eastAsia"/>
        </w:rPr>
        <w:t>TN</w:t>
      </w:r>
      <w:r>
        <w:rPr>
          <w:rFonts w:hint="eastAsia"/>
        </w:rPr>
        <w:t>）、总磷（</w:t>
      </w:r>
      <w:r>
        <w:rPr>
          <w:rFonts w:hint="eastAsia"/>
        </w:rPr>
        <w:t>TP</w:t>
      </w:r>
      <w:r>
        <w:rPr>
          <w:rFonts w:hint="eastAsia"/>
        </w:rPr>
        <w:t>）和悬浮物（</w:t>
      </w:r>
      <w:r>
        <w:rPr>
          <w:rFonts w:hint="eastAsia"/>
        </w:rPr>
        <w:t>SS</w:t>
      </w:r>
      <w:r>
        <w:rPr>
          <w:rFonts w:hint="eastAsia"/>
        </w:rPr>
        <w:t>）作为计算指标。</w:t>
      </w:r>
      <w:bookmarkEnd w:id="31"/>
    </w:p>
    <w:p w:rsidR="008E7D53" w:rsidRDefault="0098666E">
      <w:pPr>
        <w:pStyle w:val="2"/>
        <w:numPr>
          <w:ilvl w:val="0"/>
          <w:numId w:val="0"/>
        </w:numPr>
        <w:spacing w:after="156"/>
        <w:jc w:val="both"/>
        <w:textAlignment w:val="baseline"/>
        <w:rPr>
          <w:b w:val="0"/>
        </w:rPr>
      </w:pPr>
      <w:bookmarkStart w:id="32" w:name="_Toc89240950"/>
      <w:r>
        <w:rPr>
          <w:b w:val="0"/>
        </w:rPr>
        <w:t xml:space="preserve">4.6 </w:t>
      </w:r>
      <w:r>
        <w:rPr>
          <w:rFonts w:hint="eastAsia"/>
          <w:b w:val="0"/>
        </w:rPr>
        <w:t>能耗计算方法</w:t>
      </w:r>
      <w:bookmarkEnd w:id="32"/>
    </w:p>
    <w:p w:rsidR="008E7D53" w:rsidRDefault="0098666E">
      <w:pPr>
        <w:ind w:firstLineChars="0" w:firstLine="0"/>
        <w:textAlignment w:val="baseline"/>
        <w:rPr>
          <w:b/>
          <w:sz w:val="20"/>
        </w:rPr>
      </w:pPr>
      <w:r>
        <w:rPr>
          <w:b/>
        </w:rPr>
        <w:t>4.6.1</w:t>
      </w:r>
      <w:r>
        <w:rPr>
          <w:rFonts w:hint="eastAsia"/>
          <w:b/>
        </w:rPr>
        <w:t>基本要求</w:t>
      </w:r>
    </w:p>
    <w:p w:rsidR="008E7D53" w:rsidRDefault="0098666E">
      <w:pPr>
        <w:ind w:firstLine="480"/>
        <w:textAlignment w:val="baseline"/>
      </w:pPr>
      <w:r>
        <w:rPr>
          <w:rFonts w:hint="eastAsia"/>
        </w:rPr>
        <w:t>标准文本中</w:t>
      </w:r>
      <w:r>
        <w:t>6.1.1</w:t>
      </w:r>
      <w:r>
        <w:rPr>
          <w:rFonts w:hint="eastAsia"/>
        </w:rPr>
        <w:t>条说明了污水处理厂用于能耗计算的水质数据应采用实测值。城镇污水处理厂水质数据可来源于自动监测和手动监测，实测数据应根据《排污单位自行监测技术指南</w:t>
      </w:r>
      <w:r>
        <w:t xml:space="preserve"> </w:t>
      </w:r>
      <w:r>
        <w:rPr>
          <w:rFonts w:hint="eastAsia"/>
        </w:rPr>
        <w:t>总则》（</w:t>
      </w:r>
      <w:r>
        <w:t>HJ 819-2017</w:t>
      </w:r>
      <w:r>
        <w:rPr>
          <w:rFonts w:hint="eastAsia"/>
        </w:rPr>
        <w:t>）、《排污单位自行监测技术指南</w:t>
      </w:r>
      <w:r>
        <w:t xml:space="preserve"> </w:t>
      </w:r>
      <w:r>
        <w:rPr>
          <w:rFonts w:hint="eastAsia"/>
        </w:rPr>
        <w:lastRenderedPageBreak/>
        <w:t>水处理》（</w:t>
      </w:r>
      <w:r>
        <w:t>HJ 1083-2020</w:t>
      </w:r>
      <w:r>
        <w:rPr>
          <w:rFonts w:hint="eastAsia"/>
        </w:rPr>
        <w:t>）等相关要求获得，并保存原始记录。</w:t>
      </w:r>
    </w:p>
    <w:p w:rsidR="008E7D53" w:rsidRDefault="0098666E">
      <w:pPr>
        <w:ind w:firstLine="480"/>
        <w:textAlignment w:val="baseline"/>
      </w:pPr>
      <w:r>
        <w:rPr>
          <w:rFonts w:hint="eastAsia"/>
        </w:rPr>
        <w:t>标准文本中</w:t>
      </w:r>
      <w:r>
        <w:rPr>
          <w:rFonts w:hint="eastAsia"/>
        </w:rPr>
        <w:t>6</w:t>
      </w:r>
      <w:r>
        <w:t>.1.2</w:t>
      </w:r>
      <w:r>
        <w:rPr>
          <w:rFonts w:hint="eastAsia"/>
        </w:rPr>
        <w:t>条说明了城镇污水处理厂的电耗数据来源。根据《</w:t>
      </w:r>
      <w:r>
        <w:rPr>
          <w:rFonts w:hint="eastAsia"/>
        </w:rPr>
        <w:t>A method to calcu</w:t>
      </w:r>
      <w:r>
        <w:rPr>
          <w:rFonts w:hint="eastAsia"/>
        </w:rPr>
        <w:t xml:space="preserve">late and express energy consumption of industrial wastewater treatment for the purpose of water reuse </w:t>
      </w:r>
      <w:r>
        <w:rPr>
          <w:rFonts w:hint="eastAsia"/>
        </w:rPr>
        <w:t>—</w:t>
      </w:r>
      <w:r>
        <w:rPr>
          <w:rFonts w:hint="eastAsia"/>
        </w:rPr>
        <w:t xml:space="preserve"> Part 1: Biological processes</w:t>
      </w:r>
      <w:r>
        <w:rPr>
          <w:rFonts w:hint="eastAsia"/>
        </w:rPr>
        <w:t>》（</w:t>
      </w:r>
      <w:r>
        <w:rPr>
          <w:rFonts w:hint="eastAsia"/>
        </w:rPr>
        <w:t>ISO 21939-1:2019</w:t>
      </w:r>
      <w:r>
        <w:rPr>
          <w:rFonts w:hint="eastAsia"/>
        </w:rPr>
        <w:t>）</w:t>
      </w:r>
      <w:r>
        <w:rPr>
          <w:rFonts w:hint="eastAsia"/>
        </w:rPr>
        <w:t>4.1.8</w:t>
      </w:r>
      <w:r>
        <w:rPr>
          <w:rFonts w:hint="eastAsia"/>
        </w:rPr>
        <w:t>相关内容，“电能消耗量应根据安装在生物处理系统所有部件电源上的电能表进行测量”，《</w:t>
      </w:r>
      <w:r>
        <w:t>用能单位能源计量器具配备和管理通则</w:t>
      </w:r>
      <w:r>
        <w:rPr>
          <w:rFonts w:hint="eastAsia"/>
        </w:rPr>
        <w:t>》（</w:t>
      </w:r>
      <w:r>
        <w:rPr>
          <w:rFonts w:hint="eastAsia"/>
        </w:rPr>
        <w:t>G</w:t>
      </w:r>
      <w:r>
        <w:t>B/T 17167-2006</w:t>
      </w:r>
      <w:r>
        <w:rPr>
          <w:rFonts w:hint="eastAsia"/>
        </w:rPr>
        <w:t>）中规定了污水处理厂的能源计量要求，结合日常工程经</w:t>
      </w:r>
      <w:r>
        <w:rPr>
          <w:rFonts w:hint="eastAsia"/>
        </w:rPr>
        <w:t>验，编制组规定了本条内容。</w:t>
      </w:r>
    </w:p>
    <w:p w:rsidR="008E7D53" w:rsidRDefault="0098666E">
      <w:pPr>
        <w:ind w:firstLine="480"/>
        <w:textAlignment w:val="baseline"/>
      </w:pPr>
      <w:r>
        <w:rPr>
          <w:rFonts w:hint="eastAsia"/>
        </w:rPr>
        <w:t>标准文本</w:t>
      </w:r>
      <w:r>
        <w:rPr>
          <w:rFonts w:hint="eastAsia"/>
        </w:rPr>
        <w:t>6</w:t>
      </w:r>
      <w:r>
        <w:t>.1.3</w:t>
      </w:r>
      <w:r>
        <w:rPr>
          <w:rFonts w:hint="eastAsia"/>
        </w:rPr>
        <w:t>条说明了城镇污水处理厂的进出水水质要求。污水处理厂能耗与进水水质有关。在其他条件相同的情况下，能耗随着进水浓度增大而增加。如进水氨氮高，在曝气池中氨氮被硝化菌氧化需要更多的氧气，导致鼓风机运行的时间更长，电耗增大。本文件规定了污水处理厂为城镇污水处理厂，目前与城镇污水处理厂进水有关的统一适用的标准有《污水综合排放标准》（</w:t>
      </w:r>
      <w:r>
        <w:rPr>
          <w:rFonts w:hint="eastAsia"/>
        </w:rPr>
        <w:t>GB 8978-1996</w:t>
      </w:r>
      <w:r>
        <w:rPr>
          <w:rFonts w:hint="eastAsia"/>
        </w:rPr>
        <w:t>）和《污水排入城镇下水道水质标准》（</w:t>
      </w:r>
      <w:r>
        <w:rPr>
          <w:rFonts w:hint="eastAsia"/>
        </w:rPr>
        <w:t>GB/T 31962-2015</w:t>
      </w:r>
      <w:r>
        <w:rPr>
          <w:rFonts w:hint="eastAsia"/>
        </w:rPr>
        <w:t>）。《污水综合排放标准》（</w:t>
      </w:r>
      <w:r>
        <w:rPr>
          <w:rFonts w:hint="eastAsia"/>
        </w:rPr>
        <w:t>GB 8978-1996</w:t>
      </w:r>
      <w:r>
        <w:rPr>
          <w:rFonts w:hint="eastAsia"/>
        </w:rPr>
        <w:t>）为</w:t>
      </w:r>
      <w:r>
        <w:rPr>
          <w:rFonts w:hint="eastAsia"/>
        </w:rPr>
        <w:t>国家强制性标准，所有将废水排入城镇污水处理厂或者城镇下水道的企业或个人必须执行。《污水排入城镇下水道水质标准》为推荐性标准，由当地政府、企业或个人与城镇污水处理厂协商执行。此外，个别城镇污水处理厂进水水质也根据上游企业所属行业类别执行行业间接排放标准不同而不同。为尽可能减小污水处理厂之间的进水水质差异，明确进水水质要求，规定城镇污水处理厂进水水质应符合《污水综合排放标准》（</w:t>
      </w:r>
      <w:r>
        <w:rPr>
          <w:rFonts w:hint="eastAsia"/>
        </w:rPr>
        <w:t>GB 8978-1996</w:t>
      </w:r>
      <w:r>
        <w:rPr>
          <w:rFonts w:hint="eastAsia"/>
        </w:rPr>
        <w:t>）或《污水排入城镇下水道水质标准》（</w:t>
      </w:r>
      <w:r>
        <w:rPr>
          <w:rFonts w:hint="eastAsia"/>
        </w:rPr>
        <w:t>GB/T 31962-2015</w:t>
      </w:r>
      <w:r>
        <w:rPr>
          <w:rFonts w:hint="eastAsia"/>
        </w:rPr>
        <w:t>）相关指标要求。</w:t>
      </w:r>
    </w:p>
    <w:p w:rsidR="008E7D53" w:rsidRDefault="0098666E">
      <w:pPr>
        <w:ind w:firstLine="480"/>
        <w:textAlignment w:val="baseline"/>
        <w:rPr>
          <w:sz w:val="20"/>
        </w:rPr>
      </w:pPr>
      <w:r>
        <w:rPr>
          <w:rFonts w:hint="eastAsia"/>
        </w:rPr>
        <w:t>同样的，在其他条件相同的情况</w:t>
      </w:r>
      <w:r>
        <w:rPr>
          <w:rFonts w:hint="eastAsia"/>
        </w:rPr>
        <w:t>下，出水标准要求越高，污染物的削减量增加，能耗增加。根据江苏省</w:t>
      </w:r>
      <w:r>
        <w:rPr>
          <w:rFonts w:hint="eastAsia"/>
        </w:rPr>
        <w:t>调查结果</w:t>
      </w:r>
      <w:r>
        <w:rPr>
          <w:rFonts w:hint="eastAsia"/>
        </w:rPr>
        <w:t>，江苏省</w:t>
      </w:r>
      <w:r>
        <w:rPr>
          <w:rFonts w:hint="eastAsia"/>
        </w:rPr>
        <w:t>22.2%</w:t>
      </w:r>
      <w:r>
        <w:rPr>
          <w:rFonts w:hint="eastAsia"/>
        </w:rPr>
        <w:t>的城镇污水处理厂（</w:t>
      </w:r>
      <w:r>
        <w:rPr>
          <w:rFonts w:hint="eastAsia"/>
        </w:rPr>
        <w:t>214</w:t>
      </w:r>
      <w:r>
        <w:rPr>
          <w:rFonts w:hint="eastAsia"/>
        </w:rPr>
        <w:t>座）执行《太湖地区城镇污水处理厂及重点工业行业主要水污染物排放限值》（</w:t>
      </w:r>
      <w:r>
        <w:rPr>
          <w:rFonts w:hint="eastAsia"/>
        </w:rPr>
        <w:t>DB 32/1072-</w:t>
      </w:r>
      <w:r>
        <w:t>2007</w:t>
      </w:r>
      <w:r>
        <w:rPr>
          <w:rFonts w:hint="eastAsia"/>
        </w:rPr>
        <w:t>），</w:t>
      </w:r>
      <w:r>
        <w:rPr>
          <w:rFonts w:hint="eastAsia"/>
        </w:rPr>
        <w:t>69.7%</w:t>
      </w:r>
      <w:r>
        <w:rPr>
          <w:rFonts w:hint="eastAsia"/>
        </w:rPr>
        <w:t>的城镇污水处理厂（</w:t>
      </w:r>
      <w:r>
        <w:rPr>
          <w:rFonts w:hint="eastAsia"/>
        </w:rPr>
        <w:t>673</w:t>
      </w:r>
      <w:r>
        <w:rPr>
          <w:rFonts w:hint="eastAsia"/>
        </w:rPr>
        <w:t>座）执行《城镇污水处理厂污染物排放标准》（</w:t>
      </w:r>
      <w:r>
        <w:rPr>
          <w:rFonts w:hint="eastAsia"/>
        </w:rPr>
        <w:t>GB 18918-2002</w:t>
      </w:r>
      <w:r>
        <w:rPr>
          <w:rFonts w:hint="eastAsia"/>
        </w:rPr>
        <w:t>）中一级</w:t>
      </w:r>
      <w:r>
        <w:rPr>
          <w:rFonts w:hint="eastAsia"/>
        </w:rPr>
        <w:t>A</w:t>
      </w:r>
      <w:r>
        <w:rPr>
          <w:rFonts w:hint="eastAsia"/>
        </w:rPr>
        <w:t>标准，</w:t>
      </w:r>
      <w:r>
        <w:rPr>
          <w:rFonts w:hint="eastAsia"/>
        </w:rPr>
        <w:t>8.1%</w:t>
      </w:r>
      <w:r>
        <w:rPr>
          <w:rFonts w:hint="eastAsia"/>
        </w:rPr>
        <w:t>的城镇污水处理厂（</w:t>
      </w:r>
      <w:r>
        <w:rPr>
          <w:rFonts w:hint="eastAsia"/>
        </w:rPr>
        <w:t>78</w:t>
      </w:r>
      <w:r>
        <w:rPr>
          <w:rFonts w:hint="eastAsia"/>
        </w:rPr>
        <w:t>座）执行一级</w:t>
      </w:r>
      <w:r>
        <w:rPr>
          <w:rFonts w:hint="eastAsia"/>
        </w:rPr>
        <w:t>B</w:t>
      </w:r>
      <w:r>
        <w:rPr>
          <w:rFonts w:hint="eastAsia"/>
        </w:rPr>
        <w:t>标准，即大部分城镇污水处理厂执行国标一级</w:t>
      </w:r>
      <w:r>
        <w:rPr>
          <w:rFonts w:hint="eastAsia"/>
        </w:rPr>
        <w:t>A</w:t>
      </w:r>
      <w:r>
        <w:rPr>
          <w:rFonts w:hint="eastAsia"/>
        </w:rPr>
        <w:t>及以上排放标准限值。为尽可能减小污水处理厂之间因出水水质差异，使得污水处理厂之间的能耗更有可</w:t>
      </w:r>
      <w:r>
        <w:rPr>
          <w:rFonts w:hint="eastAsia"/>
        </w:rPr>
        <w:t>比性</w:t>
      </w:r>
      <w:r>
        <w:rPr>
          <w:rFonts w:hint="eastAsia"/>
        </w:rPr>
        <w:t>，</w:t>
      </w:r>
      <w:r>
        <w:rPr>
          <w:rFonts w:hint="eastAsia"/>
        </w:rPr>
        <w:t>也需要对其出水水质要求进行规定</w:t>
      </w:r>
      <w:r>
        <w:rPr>
          <w:rFonts w:hint="eastAsia"/>
        </w:rPr>
        <w:t>。基于现在调研的城镇污水处理厂，其所执行的江苏省地方标准为旧版本，相关指标的限值和国标一级</w:t>
      </w:r>
      <w:r>
        <w:rPr>
          <w:rFonts w:hint="eastAsia"/>
        </w:rPr>
        <w:t>A</w:t>
      </w:r>
      <w:r>
        <w:rPr>
          <w:rFonts w:hint="eastAsia"/>
        </w:rPr>
        <w:t>相差</w:t>
      </w:r>
      <w:r>
        <w:rPr>
          <w:rFonts w:hint="eastAsia"/>
        </w:rPr>
        <w:lastRenderedPageBreak/>
        <w:t>不大，故本文件明确了出水水质要求，规定处理后出水水质应符合</w:t>
      </w:r>
      <w:r>
        <w:rPr>
          <w:rFonts w:hint="eastAsia"/>
        </w:rPr>
        <w:t>GB 18918-2002</w:t>
      </w:r>
      <w:r>
        <w:rPr>
          <w:rFonts w:hint="eastAsia"/>
        </w:rPr>
        <w:t>一级</w:t>
      </w:r>
      <w:r>
        <w:rPr>
          <w:rFonts w:hint="eastAsia"/>
        </w:rPr>
        <w:t>A</w:t>
      </w:r>
      <w:r>
        <w:rPr>
          <w:rFonts w:hint="eastAsia"/>
        </w:rPr>
        <w:t>标准。</w:t>
      </w:r>
    </w:p>
    <w:p w:rsidR="008E7D53" w:rsidRDefault="0098666E">
      <w:pPr>
        <w:ind w:firstLineChars="0" w:firstLine="0"/>
        <w:textAlignment w:val="baseline"/>
        <w:rPr>
          <w:b/>
          <w:sz w:val="20"/>
        </w:rPr>
      </w:pPr>
      <w:r>
        <w:rPr>
          <w:b/>
        </w:rPr>
        <w:t>4.6.2</w:t>
      </w:r>
      <w:r>
        <w:rPr>
          <w:rFonts w:hint="eastAsia"/>
          <w:b/>
        </w:rPr>
        <w:t>评价指标的计算</w:t>
      </w:r>
    </w:p>
    <w:p w:rsidR="008E7D53" w:rsidRDefault="0098666E">
      <w:pPr>
        <w:ind w:firstLineChars="0" w:firstLine="0"/>
        <w:textAlignment w:val="baseline"/>
        <w:rPr>
          <w:b/>
          <w:bCs/>
        </w:rPr>
      </w:pPr>
      <w:r>
        <w:rPr>
          <w:b/>
        </w:rPr>
        <w:t>4.6.2.1</w:t>
      </w:r>
      <w:r>
        <w:rPr>
          <w:rFonts w:hint="eastAsia"/>
          <w:b/>
        </w:rPr>
        <w:t>每千克总污染物去除电耗的计算</w:t>
      </w:r>
    </w:p>
    <w:p w:rsidR="008E7D53" w:rsidRDefault="0098666E">
      <w:pPr>
        <w:ind w:firstLine="480"/>
        <w:textAlignment w:val="baseline"/>
        <w:rPr>
          <w:highlight w:val="yellow"/>
        </w:rPr>
      </w:pPr>
      <w:r>
        <w:rPr>
          <w:rFonts w:hint="eastAsia"/>
          <w:szCs w:val="24"/>
        </w:rPr>
        <w:t>每千克总污染物去除电耗按公式（</w:t>
      </w:r>
      <w:r>
        <w:rPr>
          <w:szCs w:val="24"/>
        </w:rPr>
        <w:t>1</w:t>
      </w:r>
      <w:r>
        <w:rPr>
          <w:rFonts w:hint="eastAsia"/>
          <w:szCs w:val="24"/>
        </w:rPr>
        <w:t>）计算：</w:t>
      </w:r>
    </w:p>
    <w:p w:rsidR="008E7D53" w:rsidRDefault="0098666E">
      <w:pPr>
        <w:ind w:left="50" w:firstLine="480"/>
        <w:jc w:val="right"/>
        <w:textAlignment w:val="baseline"/>
        <w:rPr>
          <w:highlight w:val="yellow"/>
        </w:rPr>
      </w:pPr>
      <m:oMath>
        <m:sSub>
          <m:sSubPr>
            <m:ctrlPr>
              <w:rPr>
                <w:rFonts w:ascii="Cambria Math" w:hAnsi="Cambria Math"/>
                <w:i/>
              </w:rPr>
            </m:ctrlPr>
          </m:sSubPr>
          <m:e>
            <m:r>
              <w:rPr>
                <w:rFonts w:ascii="Cambria Math" w:hAnsi="Cambria Math"/>
              </w:rPr>
              <m:t>E</m:t>
            </m:r>
          </m:e>
          <m:sub>
            <m:r>
              <w:rPr>
                <w:rFonts w:ascii="Cambria Math" w:hAnsi="Cambria Math"/>
              </w:rPr>
              <m:t>WD</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WD</m:t>
                </m:r>
              </m:sub>
            </m:sSub>
          </m:num>
          <m:den>
            <m:sSub>
              <m:sSubPr>
                <m:ctrlPr>
                  <w:rPr>
                    <w:rFonts w:ascii="Cambria Math" w:hAnsi="Cambria Math"/>
                    <w:i/>
                  </w:rPr>
                </m:ctrlPr>
              </m:sSubPr>
              <m:e>
                <m:r>
                  <w:rPr>
                    <w:rFonts w:ascii="Cambria Math" w:hAnsi="Cambria Math"/>
                  </w:rPr>
                  <m:t>Q</m:t>
                </m:r>
              </m:e>
              <m:sub>
                <m:r>
                  <w:rPr>
                    <w:rFonts w:ascii="Cambria Math" w:hAnsi="Cambria Math"/>
                  </w:rPr>
                  <m:t>ZW</m:t>
                </m:r>
              </m:sub>
            </m:sSub>
          </m:den>
        </m:f>
      </m:oMath>
      <w:r>
        <w:tab/>
        <w:t xml:space="preserve">                           </w:t>
      </w:r>
      <w:r>
        <w:rPr>
          <w:rFonts w:hint="eastAsia"/>
        </w:rPr>
        <w:t>（</w:t>
      </w:r>
      <w:r>
        <w:rPr>
          <w:rFonts w:hint="eastAsia"/>
        </w:rPr>
        <w:t>1</w:t>
      </w:r>
      <w:r>
        <w:rPr>
          <w:rFonts w:hint="eastAsia"/>
        </w:rPr>
        <w:t>）</w:t>
      </w:r>
    </w:p>
    <w:p w:rsidR="008E7D53" w:rsidRDefault="0098666E">
      <w:pPr>
        <w:pStyle w:val="afff"/>
        <w:spacing w:before="156" w:after="156" w:line="360" w:lineRule="auto"/>
        <w:ind w:firstLine="480"/>
        <w:textAlignment w:val="baseline"/>
        <w:rPr>
          <w:rFonts w:ascii="Times New Roman"/>
          <w:sz w:val="24"/>
          <w:szCs w:val="24"/>
        </w:rPr>
      </w:pPr>
      <w:r>
        <w:rPr>
          <w:rFonts w:ascii="Times New Roman" w:hint="eastAsia"/>
          <w:sz w:val="24"/>
          <w:szCs w:val="24"/>
        </w:rPr>
        <w:t>式中：</w:t>
      </w:r>
    </w:p>
    <w:p w:rsidR="008E7D53" w:rsidRDefault="0098666E">
      <w:pPr>
        <w:pStyle w:val="afff"/>
        <w:spacing w:before="156" w:after="156" w:line="360" w:lineRule="auto"/>
        <w:ind w:firstLine="480"/>
        <w:textAlignment w:val="baseline"/>
        <w:rPr>
          <w:rFonts w:ascii="Times New Roman"/>
          <w:sz w:val="24"/>
          <w:szCs w:val="24"/>
        </w:rPr>
      </w:pPr>
      <m:oMath>
        <m:sSub>
          <m:sSubPr>
            <m:ctrlPr>
              <w:rPr>
                <w:rFonts w:ascii="Cambria Math" w:hAnsi="Cambria Math"/>
                <w:i/>
                <w:kern w:val="2"/>
                <w:sz w:val="24"/>
                <w:szCs w:val="24"/>
              </w:rPr>
            </m:ctrlPr>
          </m:sSubPr>
          <m:e>
            <m:r>
              <w:rPr>
                <w:rFonts w:ascii="Cambria Math" w:hAnsi="Cambria Math"/>
              </w:rPr>
              <m:t>E</m:t>
            </m:r>
          </m:e>
          <m:sub>
            <m:r>
              <w:rPr>
                <w:rFonts w:ascii="Cambria Math" w:hAnsi="Cambria Math"/>
              </w:rPr>
              <m:t>WD</m:t>
            </m:r>
          </m:sub>
        </m:sSub>
      </m:oMath>
      <w:r>
        <w:rPr>
          <w:rFonts w:ascii="Times New Roman" w:hint="eastAsia"/>
          <w:sz w:val="24"/>
          <w:szCs w:val="24"/>
        </w:rPr>
        <w:t>——每千克总污染物去除电耗，单位为千瓦时</w:t>
      </w:r>
      <w:r>
        <w:rPr>
          <w:rFonts w:ascii="Times New Roman"/>
          <w:sz w:val="24"/>
          <w:szCs w:val="24"/>
        </w:rPr>
        <w:t>/</w:t>
      </w:r>
      <w:r>
        <w:rPr>
          <w:rFonts w:ascii="Times New Roman" w:hint="eastAsia"/>
          <w:sz w:val="24"/>
          <w:szCs w:val="24"/>
        </w:rPr>
        <w:t>千克总污染物（</w:t>
      </w:r>
      <w:r>
        <w:rPr>
          <w:rFonts w:ascii="Times New Roman"/>
          <w:sz w:val="24"/>
          <w:szCs w:val="24"/>
        </w:rPr>
        <w:t xml:space="preserve">kW·h/kg </w:t>
      </w:r>
      <w:r>
        <w:rPr>
          <w:rFonts w:ascii="Times New Roman" w:hint="eastAsia"/>
          <w:sz w:val="24"/>
          <w:szCs w:val="24"/>
        </w:rPr>
        <w:t>总污染物）；</w:t>
      </w:r>
    </w:p>
    <w:p w:rsidR="008E7D53" w:rsidRDefault="0098666E">
      <w:pPr>
        <w:pStyle w:val="afff"/>
        <w:spacing w:before="156" w:after="156" w:line="360" w:lineRule="auto"/>
        <w:ind w:firstLine="480"/>
        <w:textAlignment w:val="baseline"/>
        <w:rPr>
          <w:rFonts w:ascii="Times New Roman"/>
          <w:sz w:val="24"/>
          <w:szCs w:val="24"/>
        </w:rPr>
      </w:pPr>
      <w:r>
        <w:rPr>
          <w:rFonts w:ascii="Times New Roman"/>
          <w:i/>
          <w:sz w:val="24"/>
          <w:szCs w:val="24"/>
        </w:rPr>
        <w:t>Q</w:t>
      </w:r>
      <w:r>
        <w:rPr>
          <w:rFonts w:ascii="Times New Roman"/>
          <w:i/>
          <w:sz w:val="24"/>
          <w:szCs w:val="24"/>
          <w:vertAlign w:val="subscript"/>
        </w:rPr>
        <w:t>WD</w:t>
      </w:r>
      <w:r>
        <w:rPr>
          <w:rFonts w:ascii="Times New Roman" w:hint="eastAsia"/>
          <w:iCs/>
          <w:sz w:val="24"/>
          <w:szCs w:val="24"/>
        </w:rPr>
        <w:t>——</w:t>
      </w:r>
      <w:r>
        <w:rPr>
          <w:rFonts w:ascii="Times New Roman" w:hint="eastAsia"/>
          <w:sz w:val="24"/>
          <w:szCs w:val="24"/>
        </w:rPr>
        <w:t>电耗，单位为千瓦时（</w:t>
      </w:r>
      <w:r>
        <w:rPr>
          <w:rFonts w:ascii="Times New Roman"/>
          <w:sz w:val="24"/>
          <w:szCs w:val="24"/>
        </w:rPr>
        <w:t>kW·h</w:t>
      </w:r>
      <w:r>
        <w:rPr>
          <w:rFonts w:ascii="Times New Roman" w:hint="eastAsia"/>
          <w:sz w:val="24"/>
          <w:szCs w:val="24"/>
        </w:rPr>
        <w:t>）；</w:t>
      </w:r>
    </w:p>
    <w:p w:rsidR="008E7D53" w:rsidRDefault="0098666E">
      <w:pPr>
        <w:pStyle w:val="afff"/>
        <w:spacing w:before="156" w:after="156" w:line="360" w:lineRule="auto"/>
        <w:ind w:firstLine="480"/>
        <w:textAlignment w:val="baseline"/>
        <w:rPr>
          <w:rFonts w:ascii="Times New Roman"/>
          <w:sz w:val="24"/>
          <w:szCs w:val="24"/>
        </w:rPr>
      </w:pPr>
      <w:r>
        <w:rPr>
          <w:rFonts w:ascii="Times New Roman"/>
          <w:i/>
          <w:sz w:val="24"/>
          <w:szCs w:val="24"/>
        </w:rPr>
        <w:t>Q</w:t>
      </w:r>
      <w:r>
        <w:rPr>
          <w:rFonts w:ascii="Times New Roman"/>
          <w:i/>
          <w:sz w:val="24"/>
          <w:szCs w:val="24"/>
          <w:vertAlign w:val="subscript"/>
        </w:rPr>
        <w:t>ZW</w:t>
      </w:r>
      <w:r>
        <w:rPr>
          <w:rFonts w:ascii="Times New Roman" w:hint="eastAsia"/>
          <w:sz w:val="24"/>
          <w:szCs w:val="24"/>
        </w:rPr>
        <w:t>——统计报告期内，污水中的总污染物去除量，单位为千克（</w:t>
      </w:r>
      <w:r>
        <w:rPr>
          <w:rFonts w:ascii="Times New Roman"/>
          <w:sz w:val="24"/>
          <w:szCs w:val="24"/>
        </w:rPr>
        <w:t>kg</w:t>
      </w:r>
      <w:r>
        <w:rPr>
          <w:rFonts w:ascii="Times New Roman" w:hint="eastAsia"/>
          <w:sz w:val="24"/>
          <w:szCs w:val="24"/>
        </w:rPr>
        <w:t>）。</w:t>
      </w:r>
    </w:p>
    <w:p w:rsidR="008E7D53" w:rsidRDefault="0098666E">
      <w:pPr>
        <w:ind w:firstLineChars="0" w:firstLine="0"/>
        <w:textAlignment w:val="baseline"/>
        <w:rPr>
          <w:b/>
        </w:rPr>
      </w:pPr>
      <w:r>
        <w:rPr>
          <w:rFonts w:hint="eastAsia"/>
          <w:b/>
        </w:rPr>
        <w:t>4</w:t>
      </w:r>
      <w:r>
        <w:rPr>
          <w:b/>
        </w:rPr>
        <w:t>.6.2.2</w:t>
      </w:r>
      <w:r>
        <w:rPr>
          <w:rFonts w:hint="eastAsia"/>
          <w:b/>
        </w:rPr>
        <w:t>总污染物去除量的计算</w:t>
      </w:r>
    </w:p>
    <w:p w:rsidR="008E7D53" w:rsidRDefault="0098666E">
      <w:pPr>
        <w:ind w:firstLine="480"/>
        <w:textAlignment w:val="baseline"/>
        <w:rPr>
          <w:sz w:val="20"/>
        </w:rPr>
      </w:pPr>
      <w:r>
        <w:rPr>
          <w:rFonts w:hint="eastAsia"/>
          <w:szCs w:val="24"/>
        </w:rPr>
        <w:t>总污染物去除量</w:t>
      </w:r>
      <w:r>
        <w:rPr>
          <w:szCs w:val="24"/>
        </w:rPr>
        <w:t>按</w:t>
      </w:r>
      <w:r>
        <w:rPr>
          <w:rFonts w:hint="eastAsia"/>
          <w:szCs w:val="24"/>
        </w:rPr>
        <w:t>公</w:t>
      </w:r>
      <w:r>
        <w:rPr>
          <w:rFonts w:hint="eastAsia"/>
        </w:rPr>
        <w:t>式（</w:t>
      </w:r>
      <w:r>
        <w:rPr>
          <w:rFonts w:hint="eastAsia"/>
        </w:rPr>
        <w:t>2</w:t>
      </w:r>
      <w:r>
        <w:rPr>
          <w:rFonts w:hint="eastAsia"/>
        </w:rPr>
        <w:t>）</w:t>
      </w:r>
      <w:r>
        <w:t>计算：</w:t>
      </w:r>
    </w:p>
    <w:p w:rsidR="008E7D53" w:rsidRDefault="0098666E">
      <w:pPr>
        <w:ind w:left="156" w:firstLine="480"/>
        <w:jc w:val="right"/>
        <w:textAlignment w:val="baseline"/>
        <w:rPr>
          <w:sz w:val="20"/>
        </w:rPr>
      </w:pPr>
      <m:oMath>
        <m:sSub>
          <m:sSubPr>
            <m:ctrlPr>
              <w:rPr>
                <w:rFonts w:ascii="Cambria Math" w:hAnsi="Cambria Math"/>
                <w:i/>
              </w:rPr>
            </m:ctrlPr>
          </m:sSubPr>
          <m:e>
            <m:r>
              <w:rPr>
                <w:rFonts w:ascii="Cambria Math" w:hAnsi="Cambria Math"/>
              </w:rPr>
              <m:t>Q</m:t>
            </m:r>
          </m:e>
          <m:sub>
            <m:r>
              <w:rPr>
                <w:rFonts w:ascii="Cambria Math" w:hAnsi="Cambria Math"/>
              </w:rPr>
              <m:t>ZW</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COD</m:t>
            </m:r>
          </m:sub>
        </m:sSub>
        <m:r>
          <w:rPr>
            <w:rFonts w:ascii="Cambria Math" w:hAnsi="Cambria Math"/>
          </w:rPr>
          <m:t>+2</m:t>
        </m:r>
        <m:sSub>
          <m:sSubPr>
            <m:ctrlPr>
              <w:rPr>
                <w:rFonts w:ascii="Cambria Math" w:hAnsi="Cambria Math"/>
                <w:i/>
              </w:rPr>
            </m:ctrlPr>
          </m:sSubPr>
          <m:e>
            <m:r>
              <w:rPr>
                <w:rFonts w:ascii="Cambria Math" w:hAnsi="Cambria Math"/>
              </w:rPr>
              <m:t>Q</m:t>
            </m:r>
          </m:e>
          <m:sub>
            <m:r>
              <w:rPr>
                <w:rFonts w:ascii="Cambria Math" w:hAnsi="Cambria Math"/>
              </w:rPr>
              <m:t>BOD</m:t>
            </m:r>
          </m:sub>
        </m:sSub>
        <m:r>
          <w:rPr>
            <w:rFonts w:ascii="Cambria Math" w:hAnsi="Cambria Math"/>
          </w:rPr>
          <m:t>+20</m:t>
        </m:r>
        <m:sSub>
          <m:sSubPr>
            <m:ctrlPr>
              <w:rPr>
                <w:rFonts w:ascii="Cambria Math" w:hAnsi="Cambria Math"/>
                <w:i/>
              </w:rPr>
            </m:ctrlPr>
          </m:sSubPr>
          <m:e>
            <m:r>
              <w:rPr>
                <w:rFonts w:ascii="Cambria Math" w:hAnsi="Cambria Math"/>
              </w:rPr>
              <m:t>Q</m:t>
            </m:r>
          </m:e>
          <m:sub>
            <m:r>
              <w:rPr>
                <w:rFonts w:ascii="Cambria Math" w:hAnsi="Cambria Math"/>
              </w:rPr>
              <m:t>TN</m:t>
            </m:r>
          </m:sub>
        </m:sSub>
        <m:r>
          <w:rPr>
            <w:rFonts w:ascii="Cambria Math" w:hAnsi="Cambria Math"/>
          </w:rPr>
          <m:t>+100</m:t>
        </m:r>
        <m:sSub>
          <m:sSubPr>
            <m:ctrlPr>
              <w:rPr>
                <w:rFonts w:ascii="Cambria Math" w:hAnsi="Cambria Math"/>
                <w:i/>
              </w:rPr>
            </m:ctrlPr>
          </m:sSubPr>
          <m:e>
            <m:r>
              <w:rPr>
                <w:rFonts w:ascii="Cambria Math" w:hAnsi="Cambria Math"/>
              </w:rPr>
              <m:t>Q</m:t>
            </m:r>
          </m:e>
          <m:sub>
            <m:r>
              <w:rPr>
                <w:rFonts w:ascii="Cambria Math" w:hAnsi="Cambria Math"/>
              </w:rPr>
              <m:t>TP</m:t>
            </m:r>
          </m:sub>
        </m:sSub>
        <m:r>
          <w:rPr>
            <w:rFonts w:ascii="Cambria Math" w:hAnsi="Cambria Math"/>
          </w:rPr>
          <m:t>+</m:t>
        </m:r>
        <m:sSub>
          <m:sSubPr>
            <m:ctrlPr>
              <w:rPr>
                <w:rFonts w:ascii="Cambria Math" w:hAnsi="Cambria Math"/>
                <w:i/>
              </w:rPr>
            </m:ctrlPr>
          </m:sSubPr>
          <m:e>
            <m:r>
              <w:rPr>
                <w:rFonts w:ascii="Cambria Math" w:hAnsi="Cambria Math"/>
              </w:rPr>
              <m:t>2</m:t>
            </m:r>
            <m:r>
              <w:rPr>
                <w:rFonts w:ascii="Cambria Math" w:hAnsi="Cambria Math"/>
              </w:rPr>
              <m:t>Q</m:t>
            </m:r>
          </m:e>
          <m:sub>
            <m:r>
              <w:rPr>
                <w:rFonts w:ascii="Cambria Math" w:hAnsi="Cambria Math"/>
              </w:rPr>
              <m:t>SS</m:t>
            </m:r>
          </m:sub>
        </m:sSub>
      </m:oMath>
      <w:r>
        <w:tab/>
        <w:t xml:space="preserve">       </w:t>
      </w:r>
      <w:r>
        <w:rPr>
          <w:rFonts w:hint="eastAsia"/>
        </w:rPr>
        <w:t>（</w:t>
      </w:r>
      <w:r>
        <w:rPr>
          <w:rFonts w:hint="eastAsia"/>
        </w:rPr>
        <w:t>2</w:t>
      </w:r>
      <w:r>
        <w:rPr>
          <w:rFonts w:hint="eastAsia"/>
        </w:rPr>
        <w:t>）</w:t>
      </w:r>
    </w:p>
    <w:p w:rsidR="008E7D53" w:rsidRDefault="0098666E">
      <w:pPr>
        <w:ind w:firstLine="480"/>
        <w:textAlignment w:val="baseline"/>
        <w:rPr>
          <w:sz w:val="20"/>
          <w:lang w:val="en-GB"/>
        </w:rPr>
      </w:pPr>
      <w:r>
        <w:rPr>
          <w:lang w:val="en-GB"/>
        </w:rPr>
        <w:t>式中：</w:t>
      </w:r>
    </w:p>
    <w:p w:rsidR="008E7D53" w:rsidRDefault="0098666E">
      <w:pPr>
        <w:ind w:firstLine="480"/>
        <w:textAlignment w:val="baseline"/>
        <w:rPr>
          <w:sz w:val="20"/>
          <w:lang w:val="en-GB"/>
        </w:rPr>
      </w:pPr>
      <w:r>
        <w:rPr>
          <w:rFonts w:hint="eastAsia"/>
          <w:lang w:val="en-GB"/>
        </w:rPr>
        <w:t>Q</w:t>
      </w:r>
      <w:r>
        <w:rPr>
          <w:vertAlign w:val="subscript"/>
          <w:lang w:val="en-GB"/>
        </w:rPr>
        <w:t>ZW</w:t>
      </w:r>
      <w:r>
        <w:rPr>
          <w:rFonts w:hint="eastAsia"/>
          <w:lang w:val="en-GB"/>
        </w:rPr>
        <w:t>——统计报告期内，污水中的总污染物去除量，单位为千克（</w:t>
      </w:r>
      <w:r>
        <w:rPr>
          <w:rFonts w:hint="eastAsia"/>
          <w:lang w:val="en-GB"/>
        </w:rPr>
        <w:t>k</w:t>
      </w:r>
      <w:r>
        <w:rPr>
          <w:lang w:val="en-GB"/>
        </w:rPr>
        <w:t>g</w:t>
      </w:r>
      <w:r>
        <w:rPr>
          <w:rFonts w:hint="eastAsia"/>
          <w:lang w:val="en-GB"/>
        </w:rPr>
        <w:t>）；</w:t>
      </w:r>
    </w:p>
    <w:p w:rsidR="008E7D53" w:rsidRDefault="0098666E">
      <w:pPr>
        <w:ind w:firstLine="480"/>
        <w:textAlignment w:val="baseline"/>
        <w:rPr>
          <w:sz w:val="20"/>
          <w:lang w:val="en-GB"/>
        </w:rPr>
      </w:pPr>
      <m:oMath>
        <m:sSub>
          <m:sSubPr>
            <m:ctrlPr>
              <w:rPr>
                <w:rFonts w:ascii="Cambria Math" w:hAnsi="Cambria Math"/>
                <w:i/>
              </w:rPr>
            </m:ctrlPr>
          </m:sSubPr>
          <m:e>
            <m:r>
              <w:rPr>
                <w:rFonts w:ascii="Cambria Math" w:hAnsi="Cambria Math"/>
              </w:rPr>
              <m:t>Q</m:t>
            </m:r>
          </m:e>
          <m:sub>
            <m:r>
              <w:rPr>
                <w:rFonts w:ascii="Cambria Math" w:hAnsi="Cambria Math"/>
              </w:rPr>
              <m:t>COD</m:t>
            </m:r>
          </m:sub>
        </m:sSub>
      </m:oMath>
      <w:r>
        <w:rPr>
          <w:rFonts w:hint="eastAsia"/>
          <w:lang w:val="en-GB"/>
        </w:rPr>
        <w:t>——统计报告期内，污水中</w:t>
      </w:r>
      <w:r>
        <w:rPr>
          <w:rFonts w:hint="eastAsia"/>
          <w:lang w:val="en-GB"/>
        </w:rPr>
        <w:t>COD</w:t>
      </w:r>
      <w:r>
        <w:rPr>
          <w:rFonts w:hint="eastAsia"/>
          <w:lang w:val="en-GB"/>
        </w:rPr>
        <w:t>的平均去除量，单位为千克（</w:t>
      </w:r>
      <w:r>
        <w:rPr>
          <w:rFonts w:hint="eastAsia"/>
          <w:lang w:val="en-GB"/>
        </w:rPr>
        <w:t>kg</w:t>
      </w:r>
      <w:r>
        <w:rPr>
          <w:rFonts w:hint="eastAsia"/>
          <w:lang w:val="en-GB"/>
        </w:rPr>
        <w:t>）</w:t>
      </w:r>
      <w:r>
        <w:rPr>
          <w:lang w:val="en-GB"/>
        </w:rPr>
        <w:t>；</w:t>
      </w:r>
    </w:p>
    <w:p w:rsidR="008E7D53" w:rsidRDefault="0098666E">
      <w:pPr>
        <w:ind w:firstLine="480"/>
        <w:textAlignment w:val="baseline"/>
        <w:rPr>
          <w:sz w:val="20"/>
          <w:lang w:val="en-GB"/>
        </w:rPr>
      </w:pPr>
      <w:r>
        <w:rPr>
          <w:i/>
          <w:lang w:val="en-GB"/>
        </w:rPr>
        <w:t>Q</w:t>
      </w:r>
      <w:r>
        <w:rPr>
          <w:i/>
          <w:vertAlign w:val="subscript"/>
          <w:lang w:val="en-GB"/>
        </w:rPr>
        <w:t>BOD</w:t>
      </w:r>
      <w:r>
        <w:rPr>
          <w:rFonts w:hint="eastAsia"/>
          <w:lang w:val="en-GB"/>
        </w:rPr>
        <w:t>——统计报告期内，污水中</w:t>
      </w:r>
      <w:r>
        <w:rPr>
          <w:lang w:val="en-GB"/>
        </w:rPr>
        <w:t>B</w:t>
      </w:r>
      <w:r>
        <w:rPr>
          <w:rFonts w:hint="eastAsia"/>
          <w:lang w:val="en-GB"/>
        </w:rPr>
        <w:t>OD</w:t>
      </w:r>
      <w:r>
        <w:rPr>
          <w:rFonts w:hint="eastAsia"/>
          <w:lang w:val="en-GB"/>
        </w:rPr>
        <w:t>的平均去除量，单位为千克（</w:t>
      </w:r>
      <w:r>
        <w:rPr>
          <w:rFonts w:hint="eastAsia"/>
          <w:lang w:val="en-GB"/>
        </w:rPr>
        <w:t>kg</w:t>
      </w:r>
      <w:r>
        <w:rPr>
          <w:rFonts w:hint="eastAsia"/>
          <w:lang w:val="en-GB"/>
        </w:rPr>
        <w:t>）；</w:t>
      </w:r>
    </w:p>
    <w:p w:rsidR="008E7D53" w:rsidRDefault="0098666E">
      <w:pPr>
        <w:ind w:firstLine="480"/>
        <w:textAlignment w:val="baseline"/>
        <w:rPr>
          <w:sz w:val="20"/>
          <w:lang w:val="en-GB"/>
        </w:rPr>
      </w:pPr>
      <m:oMath>
        <m:sSub>
          <m:sSubPr>
            <m:ctrlPr>
              <w:rPr>
                <w:rFonts w:ascii="Cambria Math" w:hAnsi="Cambria Math"/>
                <w:i/>
              </w:rPr>
            </m:ctrlPr>
          </m:sSubPr>
          <m:e>
            <m:r>
              <w:rPr>
                <w:rFonts w:ascii="Cambria Math" w:hAnsi="Cambria Math"/>
              </w:rPr>
              <m:t>Q</m:t>
            </m:r>
          </m:e>
          <m:sub>
            <m:r>
              <w:rPr>
                <w:rFonts w:ascii="Cambria Math" w:hAnsi="Cambria Math"/>
              </w:rPr>
              <m:t>TN</m:t>
            </m:r>
          </m:sub>
        </m:sSub>
      </m:oMath>
      <w:r>
        <w:rPr>
          <w:rFonts w:hint="eastAsia"/>
          <w:lang w:val="en-GB"/>
        </w:rPr>
        <w:t>——统计报告期内，污水中</w:t>
      </w:r>
      <w:r>
        <w:rPr>
          <w:lang w:val="en-GB"/>
        </w:rPr>
        <w:t>TN</w:t>
      </w:r>
      <w:r>
        <w:rPr>
          <w:rFonts w:hint="eastAsia"/>
          <w:lang w:val="en-GB"/>
        </w:rPr>
        <w:t>的平均去除量，单位为千克（</w:t>
      </w:r>
      <w:r>
        <w:rPr>
          <w:rFonts w:hint="eastAsia"/>
          <w:lang w:val="en-GB"/>
        </w:rPr>
        <w:t>kg</w:t>
      </w:r>
      <w:r>
        <w:rPr>
          <w:rFonts w:hint="eastAsia"/>
          <w:lang w:val="en-GB"/>
        </w:rPr>
        <w:t>）；</w:t>
      </w:r>
    </w:p>
    <w:p w:rsidR="008E7D53" w:rsidRDefault="0098666E">
      <w:pPr>
        <w:ind w:firstLine="480"/>
        <w:textAlignment w:val="baseline"/>
        <w:rPr>
          <w:kern w:val="0"/>
          <w:sz w:val="20"/>
          <w:szCs w:val="20"/>
        </w:rPr>
      </w:pPr>
      <m:oMath>
        <m:sSub>
          <m:sSubPr>
            <m:ctrlPr>
              <w:rPr>
                <w:rFonts w:ascii="Cambria Math" w:hAnsi="Cambria Math"/>
                <w:i/>
              </w:rPr>
            </m:ctrlPr>
          </m:sSubPr>
          <m:e>
            <m:r>
              <w:rPr>
                <w:rFonts w:ascii="Cambria Math" w:hAnsi="Cambria Math"/>
              </w:rPr>
              <m:t>Q</m:t>
            </m:r>
          </m:e>
          <m:sub>
            <m:r>
              <w:rPr>
                <w:rFonts w:ascii="Cambria Math" w:hAnsi="Cambria Math"/>
              </w:rPr>
              <m:t>TP</m:t>
            </m:r>
          </m:sub>
        </m:sSub>
      </m:oMath>
      <w:r>
        <w:rPr>
          <w:rFonts w:hint="eastAsia"/>
          <w:kern w:val="0"/>
          <w:szCs w:val="20"/>
          <w:lang w:val="en-GB"/>
        </w:rPr>
        <w:t>——统计报告期内，污水中</w:t>
      </w:r>
      <w:r>
        <w:rPr>
          <w:kern w:val="0"/>
          <w:szCs w:val="20"/>
          <w:lang w:val="en-GB"/>
        </w:rPr>
        <w:t>TP</w:t>
      </w:r>
      <w:r>
        <w:rPr>
          <w:rFonts w:hint="eastAsia"/>
          <w:kern w:val="0"/>
          <w:szCs w:val="20"/>
          <w:lang w:val="en-GB"/>
        </w:rPr>
        <w:t>的平均去除量，单位为千克（</w:t>
      </w:r>
      <w:r>
        <w:rPr>
          <w:rFonts w:hint="eastAsia"/>
          <w:kern w:val="0"/>
          <w:szCs w:val="20"/>
          <w:lang w:val="en-GB"/>
        </w:rPr>
        <w:t>kg</w:t>
      </w:r>
      <w:r>
        <w:rPr>
          <w:rFonts w:hint="eastAsia"/>
          <w:kern w:val="0"/>
          <w:szCs w:val="20"/>
          <w:lang w:val="en-GB"/>
        </w:rPr>
        <w:t>）</w:t>
      </w:r>
      <w:r>
        <w:rPr>
          <w:rFonts w:hint="eastAsia"/>
          <w:kern w:val="0"/>
          <w:szCs w:val="20"/>
        </w:rPr>
        <w:t>；</w:t>
      </w:r>
    </w:p>
    <w:p w:rsidR="008E7D53" w:rsidRDefault="0098666E">
      <w:pPr>
        <w:ind w:firstLine="480"/>
        <w:textAlignment w:val="baseline"/>
        <w:rPr>
          <w:lang w:val="en-GB"/>
        </w:rPr>
      </w:pPr>
      <w:r>
        <w:rPr>
          <w:i/>
          <w:lang w:val="en-GB"/>
        </w:rPr>
        <w:t>Q</w:t>
      </w:r>
      <w:r>
        <w:rPr>
          <w:i/>
          <w:vertAlign w:val="subscript"/>
          <w:lang w:val="en-GB"/>
        </w:rPr>
        <w:t>SS</w:t>
      </w:r>
      <w:r>
        <w:rPr>
          <w:rFonts w:hint="eastAsia"/>
          <w:lang w:val="en-GB"/>
        </w:rPr>
        <w:t>——统计报告期内，污水中</w:t>
      </w:r>
      <w:r>
        <w:rPr>
          <w:lang w:val="en-GB"/>
        </w:rPr>
        <w:t>SS</w:t>
      </w:r>
      <w:r>
        <w:rPr>
          <w:rFonts w:hint="eastAsia"/>
          <w:lang w:val="en-GB"/>
        </w:rPr>
        <w:t>的平均去除量，单位为千克（</w:t>
      </w:r>
      <w:r>
        <w:rPr>
          <w:rFonts w:hint="eastAsia"/>
          <w:lang w:val="en-GB"/>
        </w:rPr>
        <w:t>kg</w:t>
      </w:r>
      <w:r>
        <w:rPr>
          <w:rFonts w:hint="eastAsia"/>
          <w:lang w:val="en-GB"/>
        </w:rPr>
        <w:t>）。</w:t>
      </w:r>
    </w:p>
    <w:p w:rsidR="008E7D53" w:rsidRDefault="0098666E">
      <w:pPr>
        <w:ind w:firstLineChars="0" w:firstLine="0"/>
        <w:textAlignment w:val="baseline"/>
        <w:rPr>
          <w:b/>
        </w:rPr>
      </w:pPr>
      <w:r>
        <w:rPr>
          <w:rFonts w:hint="eastAsia"/>
          <w:b/>
        </w:rPr>
        <w:t>4</w:t>
      </w:r>
      <w:r>
        <w:rPr>
          <w:b/>
        </w:rPr>
        <w:t>.6.2.2</w:t>
      </w:r>
      <w:r>
        <w:rPr>
          <w:rFonts w:hint="eastAsia"/>
          <w:b/>
        </w:rPr>
        <w:t>总污染物各指标的平均去除量的计算</w:t>
      </w:r>
    </w:p>
    <w:p w:rsidR="008E7D53" w:rsidRDefault="0098666E">
      <w:pPr>
        <w:ind w:firstLine="480"/>
        <w:textAlignment w:val="baseline"/>
        <w:rPr>
          <w:kern w:val="0"/>
          <w:sz w:val="20"/>
          <w:szCs w:val="20"/>
        </w:rPr>
      </w:pPr>
      <w:r>
        <w:rPr>
          <w:rFonts w:hint="eastAsia"/>
          <w:kern w:val="0"/>
          <w:szCs w:val="20"/>
        </w:rPr>
        <w:t>总污染物各指标的平均去除量</w:t>
      </w:r>
      <w:r>
        <w:rPr>
          <w:kern w:val="0"/>
          <w:szCs w:val="20"/>
        </w:rPr>
        <w:t>按</w:t>
      </w:r>
      <w:r>
        <w:rPr>
          <w:rFonts w:hint="eastAsia"/>
          <w:kern w:val="0"/>
          <w:szCs w:val="20"/>
        </w:rPr>
        <w:t>公式（</w:t>
      </w:r>
      <w:r>
        <w:rPr>
          <w:rFonts w:hint="eastAsia"/>
          <w:kern w:val="0"/>
          <w:szCs w:val="20"/>
        </w:rPr>
        <w:t>3</w:t>
      </w:r>
      <w:r>
        <w:rPr>
          <w:rFonts w:hint="eastAsia"/>
          <w:kern w:val="0"/>
          <w:szCs w:val="20"/>
        </w:rPr>
        <w:t>）</w:t>
      </w:r>
      <w:r>
        <w:rPr>
          <w:kern w:val="0"/>
          <w:szCs w:val="20"/>
        </w:rPr>
        <w:t>计算：</w:t>
      </w:r>
    </w:p>
    <w:p w:rsidR="008E7D53" w:rsidRDefault="0098666E">
      <w:pPr>
        <w:ind w:left="156" w:firstLine="480"/>
        <w:jc w:val="right"/>
        <w:textAlignment w:val="baseline"/>
        <w:rPr>
          <w:rFonts w:ascii="Cambria Math" w:hAnsi="Cambria Math"/>
          <w:i/>
        </w:rPr>
      </w:pPr>
      <w:r>
        <w:rPr>
          <w:rFonts w:ascii="Cambria Math" w:hAnsi="Cambria Math"/>
          <w:i/>
        </w:rPr>
        <w:tab/>
        <w:t>Q</w:t>
      </w:r>
      <w:r>
        <w:rPr>
          <w:rFonts w:ascii="Cambria Math" w:hAnsi="Cambria Math"/>
          <w:i/>
          <w:vertAlign w:val="subscript"/>
        </w:rPr>
        <w:t>i</w:t>
      </w:r>
      <w:r>
        <w:rPr>
          <w:rFonts w:ascii="Cambria Math" w:hAnsi="Cambria Math"/>
          <w:i/>
        </w:rPr>
        <w:t>=Q</w:t>
      </w:r>
      <w:r>
        <w:rPr>
          <w:rFonts w:ascii="Cambria Math" w:hAnsi="Cambria Math"/>
          <w:i/>
          <w:vertAlign w:val="subscript"/>
        </w:rPr>
        <w:t>WS</w:t>
      </w:r>
      <w:r>
        <w:rPr>
          <w:rFonts w:ascii="Cambria Math" w:hAnsi="Cambria Math" w:hint="eastAsia"/>
          <w:i/>
        </w:rPr>
        <w:t>(</w:t>
      </w:r>
      <w:r>
        <w:rPr>
          <w:rFonts w:ascii="Cambria Math" w:hAnsi="Cambria Math"/>
          <w:i/>
        </w:rPr>
        <w:t>C</w:t>
      </w:r>
      <w:r>
        <w:rPr>
          <w:rFonts w:ascii="Cambria Math" w:hAnsi="Cambria Math"/>
          <w:i/>
          <w:vertAlign w:val="subscript"/>
        </w:rPr>
        <w:t>i</w:t>
      </w:r>
      <w:r>
        <w:rPr>
          <w:rFonts w:ascii="Cambria Math" w:hAnsi="Cambria Math" w:hint="eastAsia"/>
          <w:i/>
          <w:vertAlign w:val="subscript"/>
        </w:rPr>
        <w:t>，</w:t>
      </w:r>
      <w:r>
        <w:rPr>
          <w:rFonts w:ascii="Cambria Math" w:hAnsi="Cambria Math"/>
          <w:i/>
          <w:vertAlign w:val="subscript"/>
        </w:rPr>
        <w:t>0</w:t>
      </w:r>
      <w:r>
        <w:rPr>
          <w:rFonts w:ascii="Cambria Math" w:hAnsi="Cambria Math"/>
          <w:i/>
        </w:rPr>
        <w:t xml:space="preserve">-C </w:t>
      </w:r>
      <w:r>
        <w:rPr>
          <w:rFonts w:ascii="Cambria Math" w:hAnsi="Cambria Math"/>
          <w:i/>
          <w:vertAlign w:val="subscript"/>
        </w:rPr>
        <w:t>i</w:t>
      </w:r>
      <w:r>
        <w:rPr>
          <w:rFonts w:ascii="Cambria Math" w:hAnsi="Cambria Math" w:hint="eastAsia"/>
          <w:i/>
          <w:vertAlign w:val="subscript"/>
        </w:rPr>
        <w:t>，</w:t>
      </w:r>
      <w:r>
        <w:rPr>
          <w:rFonts w:ascii="Cambria Math" w:hAnsi="Cambria Math"/>
          <w:i/>
          <w:vertAlign w:val="subscript"/>
        </w:rPr>
        <w:t>e</w:t>
      </w:r>
      <w:r>
        <w:rPr>
          <w:rFonts w:ascii="Cambria Math" w:hAnsi="Cambria Math" w:hint="eastAsia"/>
          <w:i/>
        </w:rPr>
        <w:t>)</w:t>
      </w:r>
      <w:r>
        <w:rPr>
          <w:rFonts w:ascii="Cambria Math" w:hAnsi="Cambria Math"/>
          <w:i/>
        </w:rPr>
        <w:t>/1000</w:t>
      </w:r>
      <w:r>
        <w:rPr>
          <w:rFonts w:ascii="Cambria Math" w:hAnsi="Cambria Math" w:hint="eastAsia"/>
          <w:i/>
          <w:color w:val="808080" w:themeColor="background1" w:themeShade="80"/>
        </w:rPr>
        <w:t>·················</w:t>
      </w:r>
      <w:r>
        <w:rPr>
          <w:rFonts w:ascii="Cambria Math" w:hAnsi="Cambria Math" w:hint="eastAsia"/>
          <w:iCs/>
        </w:rPr>
        <w:t>（</w:t>
      </w:r>
      <w:r>
        <w:rPr>
          <w:rFonts w:ascii="Cambria Math" w:hAnsi="Cambria Math"/>
          <w:iCs/>
        </w:rPr>
        <w:t>3</w:t>
      </w:r>
      <w:r>
        <w:rPr>
          <w:rFonts w:ascii="Cambria Math" w:hAnsi="Cambria Math" w:hint="eastAsia"/>
          <w:iCs/>
        </w:rPr>
        <w:t>）</w:t>
      </w:r>
    </w:p>
    <w:p w:rsidR="008E7D53" w:rsidRDefault="0098666E">
      <w:pPr>
        <w:ind w:firstLine="480"/>
        <w:textAlignment w:val="baseline"/>
        <w:rPr>
          <w:sz w:val="20"/>
          <w:lang w:val="en-GB"/>
        </w:rPr>
      </w:pPr>
      <w:r>
        <w:rPr>
          <w:rFonts w:hint="eastAsia"/>
          <w:lang w:val="en-GB"/>
        </w:rPr>
        <w:t>式中：</w:t>
      </w:r>
    </w:p>
    <w:p w:rsidR="008E7D53" w:rsidRDefault="0098666E">
      <w:pPr>
        <w:ind w:firstLine="480"/>
        <w:textAlignment w:val="baseline"/>
        <w:rPr>
          <w:sz w:val="20"/>
          <w:lang w:val="en-GB"/>
        </w:rPr>
      </w:pPr>
      <w:r>
        <w:rPr>
          <w:i/>
          <w:lang w:val="en-GB"/>
        </w:rPr>
        <w:t>Q</w:t>
      </w:r>
      <w:r>
        <w:rPr>
          <w:i/>
          <w:vertAlign w:val="subscript"/>
          <w:lang w:val="en-GB"/>
        </w:rPr>
        <w:t>i</w:t>
      </w:r>
      <w:r>
        <w:rPr>
          <w:rFonts w:hint="eastAsia"/>
          <w:lang w:val="en-GB"/>
        </w:rPr>
        <w:t>——指标</w:t>
      </w:r>
      <w:r>
        <w:rPr>
          <w:i/>
          <w:iCs/>
          <w:lang w:val="en-GB"/>
        </w:rPr>
        <w:t>i</w:t>
      </w:r>
      <w:r>
        <w:rPr>
          <w:lang w:val="en-GB"/>
        </w:rPr>
        <w:t>（</w:t>
      </w:r>
      <w:r>
        <w:rPr>
          <w:lang w:val="en-GB"/>
        </w:rPr>
        <w:t>COD</w:t>
      </w:r>
      <w:r>
        <w:rPr>
          <w:lang w:val="en-GB"/>
        </w:rPr>
        <w:t>、</w:t>
      </w:r>
      <w:r>
        <w:rPr>
          <w:rFonts w:hint="eastAsia"/>
          <w:lang w:val="en-GB"/>
        </w:rPr>
        <w:t>B</w:t>
      </w:r>
      <w:r>
        <w:rPr>
          <w:lang w:val="en-GB"/>
        </w:rPr>
        <w:t>OD</w:t>
      </w:r>
      <w:r>
        <w:rPr>
          <w:rFonts w:hint="eastAsia"/>
          <w:lang w:val="en-GB"/>
        </w:rPr>
        <w:t>、</w:t>
      </w:r>
      <w:r>
        <w:rPr>
          <w:rFonts w:hint="eastAsia"/>
          <w:lang w:val="en-GB"/>
        </w:rPr>
        <w:t>T</w:t>
      </w:r>
      <w:r>
        <w:rPr>
          <w:lang w:val="en-GB"/>
        </w:rPr>
        <w:t>P</w:t>
      </w:r>
      <w:r>
        <w:rPr>
          <w:rFonts w:hint="eastAsia"/>
          <w:lang w:val="en-GB"/>
        </w:rPr>
        <w:t>、</w:t>
      </w:r>
      <w:r>
        <w:rPr>
          <w:rFonts w:hint="eastAsia"/>
          <w:lang w:val="en-GB"/>
        </w:rPr>
        <w:t>T</w:t>
      </w:r>
      <w:r>
        <w:rPr>
          <w:lang w:val="en-GB"/>
        </w:rPr>
        <w:t>N</w:t>
      </w:r>
      <w:r>
        <w:rPr>
          <w:rFonts w:hint="eastAsia"/>
          <w:lang w:val="en-GB"/>
        </w:rPr>
        <w:t>、</w:t>
      </w:r>
      <w:r>
        <w:rPr>
          <w:lang w:val="en-GB"/>
        </w:rPr>
        <w:t>SS</w:t>
      </w:r>
      <w:r>
        <w:rPr>
          <w:lang w:val="en-GB"/>
        </w:rPr>
        <w:t>）</w:t>
      </w:r>
      <w:r>
        <w:rPr>
          <w:iCs/>
          <w:lang w:val="en-GB"/>
        </w:rPr>
        <w:t>的</w:t>
      </w:r>
      <w:r>
        <w:rPr>
          <w:rFonts w:hint="eastAsia"/>
          <w:iCs/>
          <w:lang w:val="en-GB"/>
        </w:rPr>
        <w:t>平均去除量</w:t>
      </w:r>
      <w:r>
        <w:rPr>
          <w:lang w:val="en-GB"/>
        </w:rPr>
        <w:t>，单位为千克（</w:t>
      </w:r>
      <w:r>
        <w:rPr>
          <w:lang w:val="en-GB"/>
        </w:rPr>
        <w:t>kg</w:t>
      </w:r>
      <w:r>
        <w:rPr>
          <w:lang w:val="en-GB"/>
        </w:rPr>
        <w:t>）；</w:t>
      </w:r>
    </w:p>
    <w:p w:rsidR="008E7D53" w:rsidRDefault="0098666E">
      <w:pPr>
        <w:pStyle w:val="afff0"/>
        <w:spacing w:line="360" w:lineRule="auto"/>
        <w:ind w:firstLine="480"/>
        <w:textAlignment w:val="baseline"/>
        <w:rPr>
          <w:rFonts w:ascii="Times New Roman"/>
          <w:sz w:val="24"/>
        </w:rPr>
      </w:pPr>
      <w:r>
        <w:rPr>
          <w:rFonts w:ascii="Times New Roman"/>
          <w:i/>
          <w:sz w:val="24"/>
        </w:rPr>
        <w:t>Q</w:t>
      </w:r>
      <w:r>
        <w:rPr>
          <w:rFonts w:ascii="Times New Roman"/>
          <w:i/>
          <w:sz w:val="24"/>
          <w:vertAlign w:val="subscript"/>
        </w:rPr>
        <w:t>WS</w:t>
      </w:r>
      <w:r>
        <w:rPr>
          <w:rFonts w:ascii="Times New Roman"/>
          <w:sz w:val="24"/>
        </w:rPr>
        <w:t>——</w:t>
      </w:r>
      <w:r>
        <w:rPr>
          <w:rFonts w:ascii="Times New Roman" w:hint="eastAsia"/>
          <w:sz w:val="24"/>
        </w:rPr>
        <w:t>统计报告期内，实际处理污水总量，单位为立方米（</w:t>
      </w:r>
      <w:r>
        <w:rPr>
          <w:rFonts w:ascii="Times New Roman"/>
          <w:sz w:val="24"/>
        </w:rPr>
        <w:t>m</w:t>
      </w:r>
      <w:r>
        <w:rPr>
          <w:rFonts w:ascii="Times New Roman"/>
          <w:sz w:val="24"/>
          <w:vertAlign w:val="superscript"/>
        </w:rPr>
        <w:t>3</w:t>
      </w:r>
      <w:r>
        <w:rPr>
          <w:rFonts w:ascii="Times New Roman" w:hint="eastAsia"/>
          <w:sz w:val="24"/>
        </w:rPr>
        <w:t>）；</w:t>
      </w:r>
    </w:p>
    <w:p w:rsidR="008E7D53" w:rsidRDefault="0098666E">
      <w:pPr>
        <w:ind w:firstLine="480"/>
        <w:textAlignment w:val="baseline"/>
        <w:rPr>
          <w:sz w:val="20"/>
          <w:lang w:val="en-GB"/>
        </w:rPr>
      </w:pPr>
      <w:r>
        <w:rPr>
          <w:i/>
          <w:lang w:val="en-GB"/>
        </w:rPr>
        <w:lastRenderedPageBreak/>
        <w:t>C</w:t>
      </w:r>
      <w:r>
        <w:rPr>
          <w:i/>
          <w:vertAlign w:val="subscript"/>
          <w:lang w:val="en-GB"/>
        </w:rPr>
        <w:t>i, o</w:t>
      </w:r>
      <w:r>
        <w:rPr>
          <w:strike/>
          <w:color w:val="FF0000"/>
          <w:lang w:val="en-GB"/>
        </w:rPr>
        <w:t xml:space="preserve"> </w:t>
      </w:r>
      <w:r>
        <w:rPr>
          <w:lang w:val="en-GB"/>
        </w:rPr>
        <w:t>——</w:t>
      </w:r>
      <w:r>
        <w:rPr>
          <w:rFonts w:hint="eastAsia"/>
          <w:lang w:val="en-GB"/>
        </w:rPr>
        <w:t>统计报告期内，指标</w:t>
      </w:r>
      <w:r>
        <w:rPr>
          <w:i/>
          <w:iCs/>
          <w:lang w:val="en-GB"/>
        </w:rPr>
        <w:t>i</w:t>
      </w:r>
      <w:r>
        <w:rPr>
          <w:lang w:val="en-GB"/>
        </w:rPr>
        <w:t>（</w:t>
      </w:r>
      <w:r>
        <w:rPr>
          <w:lang w:val="en-GB"/>
        </w:rPr>
        <w:t>COD</w:t>
      </w:r>
      <w:r>
        <w:rPr>
          <w:lang w:val="en-GB"/>
        </w:rPr>
        <w:t>、</w:t>
      </w:r>
      <w:r>
        <w:rPr>
          <w:rFonts w:hint="eastAsia"/>
          <w:lang w:val="en-GB"/>
        </w:rPr>
        <w:t>B</w:t>
      </w:r>
      <w:r>
        <w:rPr>
          <w:lang w:val="en-GB"/>
        </w:rPr>
        <w:t>OD</w:t>
      </w:r>
      <w:r>
        <w:rPr>
          <w:rFonts w:hint="eastAsia"/>
          <w:lang w:val="en-GB"/>
        </w:rPr>
        <w:t>、</w:t>
      </w:r>
      <w:r>
        <w:rPr>
          <w:rFonts w:hint="eastAsia"/>
          <w:lang w:val="en-GB"/>
        </w:rPr>
        <w:t>T</w:t>
      </w:r>
      <w:r>
        <w:rPr>
          <w:lang w:val="en-GB"/>
        </w:rPr>
        <w:t>P</w:t>
      </w:r>
      <w:r>
        <w:rPr>
          <w:rFonts w:hint="eastAsia"/>
          <w:lang w:val="en-GB"/>
        </w:rPr>
        <w:t>、</w:t>
      </w:r>
      <w:r>
        <w:rPr>
          <w:rFonts w:hint="eastAsia"/>
          <w:lang w:val="en-GB"/>
        </w:rPr>
        <w:t>T</w:t>
      </w:r>
      <w:r>
        <w:rPr>
          <w:lang w:val="en-GB"/>
        </w:rPr>
        <w:t>N</w:t>
      </w:r>
      <w:r>
        <w:rPr>
          <w:rFonts w:hint="eastAsia"/>
          <w:lang w:val="en-GB"/>
        </w:rPr>
        <w:t>、</w:t>
      </w:r>
      <w:r>
        <w:rPr>
          <w:lang w:val="en-GB"/>
        </w:rPr>
        <w:t>SS</w:t>
      </w:r>
      <w:r>
        <w:rPr>
          <w:lang w:val="en-GB"/>
        </w:rPr>
        <w:t>）的</w:t>
      </w:r>
      <w:r>
        <w:rPr>
          <w:rFonts w:hint="eastAsia"/>
          <w:lang w:val="en-GB"/>
        </w:rPr>
        <w:t>平均</w:t>
      </w:r>
      <w:r>
        <w:rPr>
          <w:lang w:val="en-GB"/>
        </w:rPr>
        <w:t>进水浓度，单位为毫克每升（</w:t>
      </w:r>
      <w:r>
        <w:rPr>
          <w:lang w:val="en-GB"/>
        </w:rPr>
        <w:t>mg/L</w:t>
      </w:r>
      <w:r>
        <w:rPr>
          <w:lang w:val="en-GB"/>
        </w:rPr>
        <w:t>）；</w:t>
      </w:r>
    </w:p>
    <w:p w:rsidR="008E7D53" w:rsidRDefault="0098666E">
      <w:pPr>
        <w:ind w:firstLine="480"/>
        <w:textAlignment w:val="baseline"/>
        <w:rPr>
          <w:sz w:val="20"/>
          <w:lang w:val="en-GB"/>
        </w:rPr>
      </w:pPr>
      <w:r>
        <w:rPr>
          <w:i/>
          <w:lang w:val="en-GB"/>
        </w:rPr>
        <w:t>C</w:t>
      </w:r>
      <w:r>
        <w:rPr>
          <w:i/>
          <w:vertAlign w:val="subscript"/>
          <w:lang w:val="en-GB"/>
        </w:rPr>
        <w:t>i, e</w:t>
      </w:r>
      <w:r>
        <w:rPr>
          <w:i/>
          <w:strike/>
          <w:color w:val="FF0000"/>
          <w:lang w:val="en-GB"/>
        </w:rPr>
        <w:t xml:space="preserve"> </w:t>
      </w:r>
      <w:r>
        <w:rPr>
          <w:lang w:val="en-GB"/>
        </w:rPr>
        <w:t>——</w:t>
      </w:r>
      <w:r>
        <w:rPr>
          <w:rFonts w:hint="eastAsia"/>
          <w:lang w:val="en-GB"/>
        </w:rPr>
        <w:t>统计报告期内，指标</w:t>
      </w:r>
      <w:r>
        <w:rPr>
          <w:i/>
          <w:lang w:val="en-GB"/>
        </w:rPr>
        <w:t>i</w:t>
      </w:r>
      <w:r>
        <w:rPr>
          <w:rFonts w:hint="eastAsia"/>
          <w:lang w:val="en-GB"/>
        </w:rPr>
        <w:t>（</w:t>
      </w:r>
      <w:r>
        <w:rPr>
          <w:rFonts w:hint="eastAsia"/>
          <w:lang w:val="en-GB"/>
        </w:rPr>
        <w:t>COD</w:t>
      </w:r>
      <w:r>
        <w:rPr>
          <w:rFonts w:hint="eastAsia"/>
          <w:lang w:val="en-GB"/>
        </w:rPr>
        <w:t>、</w:t>
      </w:r>
      <w:r>
        <w:rPr>
          <w:rFonts w:hint="eastAsia"/>
          <w:lang w:val="en-GB"/>
        </w:rPr>
        <w:t>BOD</w:t>
      </w:r>
      <w:r>
        <w:rPr>
          <w:rFonts w:hint="eastAsia"/>
          <w:lang w:val="en-GB"/>
        </w:rPr>
        <w:t>、</w:t>
      </w:r>
      <w:r>
        <w:rPr>
          <w:rFonts w:hint="eastAsia"/>
          <w:lang w:val="en-GB"/>
        </w:rPr>
        <w:t>TP</w:t>
      </w:r>
      <w:r>
        <w:rPr>
          <w:rFonts w:hint="eastAsia"/>
          <w:lang w:val="en-GB"/>
        </w:rPr>
        <w:t>、</w:t>
      </w:r>
      <w:r>
        <w:rPr>
          <w:rFonts w:hint="eastAsia"/>
          <w:lang w:val="en-GB"/>
        </w:rPr>
        <w:t>TN</w:t>
      </w:r>
      <w:r>
        <w:rPr>
          <w:rFonts w:hint="eastAsia"/>
          <w:lang w:val="en-GB"/>
        </w:rPr>
        <w:t>、</w:t>
      </w:r>
      <w:r>
        <w:rPr>
          <w:rFonts w:hint="eastAsia"/>
          <w:lang w:val="en-GB"/>
        </w:rPr>
        <w:t>SS</w:t>
      </w:r>
      <w:r>
        <w:rPr>
          <w:rFonts w:hint="eastAsia"/>
          <w:lang w:val="en-GB"/>
        </w:rPr>
        <w:t>）的平均出水浓度，单位为毫克每升（</w:t>
      </w:r>
      <w:r>
        <w:rPr>
          <w:rFonts w:hint="eastAsia"/>
          <w:lang w:val="en-GB"/>
        </w:rPr>
        <w:t>mg/L</w:t>
      </w:r>
      <w:r>
        <w:rPr>
          <w:rFonts w:hint="eastAsia"/>
          <w:lang w:val="en-GB"/>
        </w:rPr>
        <w:t>）。</w:t>
      </w:r>
    </w:p>
    <w:p w:rsidR="008E7D53" w:rsidRDefault="0098666E">
      <w:pPr>
        <w:pStyle w:val="2"/>
        <w:numPr>
          <w:ilvl w:val="0"/>
          <w:numId w:val="0"/>
        </w:numPr>
        <w:spacing w:after="156"/>
        <w:jc w:val="both"/>
        <w:textAlignment w:val="baseline"/>
        <w:rPr>
          <w:b w:val="0"/>
        </w:rPr>
      </w:pPr>
      <w:bookmarkStart w:id="33" w:name="_Toc89240951"/>
      <w:r>
        <w:rPr>
          <w:b w:val="0"/>
        </w:rPr>
        <w:t xml:space="preserve">4.7 </w:t>
      </w:r>
      <w:r>
        <w:rPr>
          <w:rFonts w:hint="eastAsia"/>
          <w:b w:val="0"/>
        </w:rPr>
        <w:t>能耗限额要求</w:t>
      </w:r>
      <w:bookmarkEnd w:id="33"/>
    </w:p>
    <w:p w:rsidR="008E7D53" w:rsidRDefault="0098666E">
      <w:pPr>
        <w:ind w:firstLine="480"/>
        <w:textAlignment w:val="baseline"/>
      </w:pPr>
      <w:r>
        <w:rPr>
          <w:rFonts w:hint="eastAsia"/>
        </w:rPr>
        <w:t>污水处理厂能耗与进出水浓度、处理工艺、处理规模以及运行负荷率</w:t>
      </w:r>
      <w:r>
        <w:rPr>
          <w:rFonts w:hint="eastAsia"/>
        </w:rPr>
        <w:t>有关</w:t>
      </w:r>
      <w:r>
        <w:rPr>
          <w:rFonts w:hint="eastAsia"/>
        </w:rPr>
        <w:t>。为增加标准的合理性和科学性，除规定城镇污水处理厂进出水水质</w:t>
      </w:r>
      <w:r>
        <w:rPr>
          <w:rFonts w:hint="eastAsia"/>
        </w:rPr>
        <w:t>外</w:t>
      </w:r>
      <w:r>
        <w:rPr>
          <w:rFonts w:hint="eastAsia"/>
        </w:rPr>
        <w:t>，本文件还进一步考虑了污水处理厂运行负荷率、处理工艺以及处理规模对能耗的影响。</w:t>
      </w:r>
    </w:p>
    <w:p w:rsidR="008E7D53" w:rsidRDefault="0098666E">
      <w:pPr>
        <w:ind w:firstLineChars="0" w:firstLine="0"/>
        <w:textAlignment w:val="baseline"/>
        <w:rPr>
          <w:b/>
          <w:sz w:val="20"/>
        </w:rPr>
      </w:pPr>
      <w:r>
        <w:rPr>
          <w:b/>
        </w:rPr>
        <w:t xml:space="preserve">4.7.1 </w:t>
      </w:r>
      <w:r>
        <w:rPr>
          <w:rFonts w:hint="eastAsia"/>
          <w:b/>
        </w:rPr>
        <w:t>运行负荷率</w:t>
      </w:r>
    </w:p>
    <w:p w:rsidR="008E7D53" w:rsidRDefault="0098666E">
      <w:pPr>
        <w:ind w:firstLine="480"/>
        <w:textAlignment w:val="baseline"/>
      </w:pPr>
      <w:r>
        <w:rPr>
          <w:rFonts w:hint="eastAsia"/>
        </w:rPr>
        <w:t>根据对江苏省城镇污水处理厂运行负荷率现状的分析及有关文件资料的调研，本文件按照污水处理运行负荷率大于等于</w:t>
      </w:r>
      <w:r>
        <w:t>60%</w:t>
      </w:r>
      <w:r>
        <w:rPr>
          <w:rFonts w:hint="eastAsia"/>
        </w:rPr>
        <w:t>的城镇污水处理厂能耗进行统计。</w:t>
      </w:r>
    </w:p>
    <w:p w:rsidR="008E7D53" w:rsidRDefault="0098666E">
      <w:pPr>
        <w:ind w:firstLine="480"/>
        <w:textAlignment w:val="baseline"/>
      </w:pPr>
      <w:r>
        <w:rPr>
          <w:rFonts w:hint="eastAsia"/>
        </w:rPr>
        <w:t>《江苏省城镇污水处理厂运行管理考核标准》（</w:t>
      </w:r>
      <w:r>
        <w:t>2020</w:t>
      </w:r>
      <w:r>
        <w:rPr>
          <w:rFonts w:hint="eastAsia"/>
        </w:rPr>
        <w:t>版）中指出，</w:t>
      </w:r>
      <w:r>
        <w:t>60%≤</w:t>
      </w:r>
      <w:r>
        <w:rPr>
          <w:rFonts w:hint="eastAsia"/>
        </w:rPr>
        <w:t>处理水量</w:t>
      </w:r>
      <w:r>
        <w:t>≤80%</w:t>
      </w:r>
      <w:r>
        <w:rPr>
          <w:rFonts w:hint="eastAsia"/>
        </w:rPr>
        <w:t>，则考核满分，这里的“处理水量”即为本文件的运行负荷率。北京市地方标准《城镇污水处理能源消耗限额》（</w:t>
      </w:r>
      <w:r>
        <w:t>DB11/T 11</w:t>
      </w:r>
      <w:r>
        <w:t>8</w:t>
      </w:r>
      <w:r>
        <w:rPr>
          <w:rFonts w:hint="eastAsia"/>
        </w:rPr>
        <w:t>-</w:t>
      </w:r>
      <w:r>
        <w:t>2014</w:t>
      </w:r>
      <w:r>
        <w:rPr>
          <w:rFonts w:hint="eastAsia"/>
        </w:rPr>
        <w:t>）修订版公开征求意见稿中指出，“本标准是按照污水处理运行负荷</w:t>
      </w:r>
      <w:r>
        <w:t>70%</w:t>
      </w:r>
      <w:r>
        <w:rPr>
          <w:rFonts w:hint="eastAsia"/>
        </w:rPr>
        <w:t>的城镇污水处理厂能耗进行统计”。</w:t>
      </w:r>
    </w:p>
    <w:p w:rsidR="008E7D53" w:rsidRDefault="0098666E">
      <w:pPr>
        <w:ind w:firstLine="480"/>
        <w:textAlignment w:val="baseline"/>
      </w:pPr>
      <w:r>
        <w:rPr>
          <w:rFonts w:hint="eastAsia"/>
        </w:rPr>
        <w:t>对全省城镇污水处理厂运行负荷率按规模进行统计，根据《城镇排水统计年鉴》，运行负荷率</w:t>
      </w:r>
      <w:r>
        <w:t>=</w:t>
      </w:r>
      <w:r>
        <w:rPr>
          <w:rFonts w:hint="eastAsia"/>
        </w:rPr>
        <w:t>污水处理总量</w:t>
      </w:r>
      <w:r>
        <w:t>/</w:t>
      </w:r>
      <w:r>
        <w:rPr>
          <w:rFonts w:hint="eastAsia"/>
        </w:rPr>
        <w:t>（日设计处理能力×天数）×</w:t>
      </w:r>
      <w:r>
        <w:t>100%</w:t>
      </w:r>
      <w:r>
        <w:rPr>
          <w:rFonts w:hint="eastAsia"/>
        </w:rPr>
        <w:t>），结果如图</w:t>
      </w:r>
      <w:r>
        <w:t>4-3</w:t>
      </w:r>
      <w:r>
        <w:rPr>
          <w:rFonts w:hint="eastAsia"/>
        </w:rPr>
        <w:t>、图</w:t>
      </w:r>
      <w:r>
        <w:t>4-4</w:t>
      </w:r>
      <w:r>
        <w:rPr>
          <w:rFonts w:hint="eastAsia"/>
        </w:rPr>
        <w:t>所示。总体而言，江苏省城镇污水处理厂平均运行负荷率随着污水处理厂规模减小，平均运行负荷率降低，全省整体的平均运行负荷率为</w:t>
      </w:r>
      <w:r>
        <w:t>74.3%</w:t>
      </w:r>
      <w:r>
        <w:rPr>
          <w:rFonts w:hint="eastAsia"/>
        </w:rPr>
        <w:t>，其中设计规模小于</w:t>
      </w:r>
      <w:r>
        <w:t>1</w:t>
      </w:r>
      <w:r>
        <w:rPr>
          <w:rFonts w:hint="eastAsia"/>
        </w:rPr>
        <w:t>万吨</w:t>
      </w:r>
      <w:r>
        <w:t>/</w:t>
      </w:r>
      <w:r>
        <w:rPr>
          <w:rFonts w:hint="eastAsia"/>
        </w:rPr>
        <w:t>日的城镇污水处理厂的平均运行负荷率为</w:t>
      </w:r>
      <w:r>
        <w:t>51.56%</w:t>
      </w:r>
      <w:r>
        <w:rPr>
          <w:rFonts w:hint="eastAsia"/>
        </w:rPr>
        <w:t>，不足</w:t>
      </w:r>
      <w:r>
        <w:t>60%</w:t>
      </w:r>
      <w:r>
        <w:rPr>
          <w:rFonts w:hint="eastAsia"/>
        </w:rPr>
        <w:t>，属于超低负荷运行。污水处理运行负荷</w:t>
      </w:r>
      <w:r>
        <w:t>70%</w:t>
      </w:r>
      <w:r>
        <w:rPr>
          <w:rFonts w:hint="eastAsia"/>
        </w:rPr>
        <w:t>的城镇污水处理厂数量占比为</w:t>
      </w:r>
      <w:r>
        <w:t>0</w:t>
      </w:r>
      <w:r>
        <w:rPr>
          <w:rFonts w:hint="eastAsia"/>
        </w:rPr>
        <w:t>，运行负荷率</w:t>
      </w:r>
      <w:r>
        <w:t>≥60%</w:t>
      </w:r>
      <w:r>
        <w:rPr>
          <w:rFonts w:hint="eastAsia"/>
        </w:rPr>
        <w:t>的数量占比为</w:t>
      </w:r>
      <w:r>
        <w:t>58%</w:t>
      </w:r>
      <w:r>
        <w:rPr>
          <w:rFonts w:hint="eastAsia"/>
        </w:rPr>
        <w:t>，运行负荷率</w:t>
      </w:r>
      <w:r>
        <w:t>≥70%</w:t>
      </w:r>
      <w:r>
        <w:rPr>
          <w:rFonts w:hint="eastAsia"/>
        </w:rPr>
        <w:t>的数量占比为</w:t>
      </w:r>
      <w:r>
        <w:t>43%</w:t>
      </w:r>
      <w:r>
        <w:rPr>
          <w:rFonts w:hint="eastAsia"/>
        </w:rPr>
        <w:t>。按不同运行负荷率区段划分，从数量上看，污水处理厂的运行负荷集中在小于</w:t>
      </w:r>
      <w:r>
        <w:t>60%</w:t>
      </w:r>
      <w:r>
        <w:rPr>
          <w:rFonts w:hint="eastAsia"/>
        </w:rPr>
        <w:t>区段和</w:t>
      </w:r>
      <w:r>
        <w:t>60%~100%</w:t>
      </w:r>
      <w:r>
        <w:rPr>
          <w:rFonts w:hint="eastAsia"/>
        </w:rPr>
        <w:t>区段。</w:t>
      </w:r>
    </w:p>
    <w:p w:rsidR="008E7D53" w:rsidRDefault="0098666E">
      <w:pPr>
        <w:ind w:firstLineChars="0" w:firstLine="0"/>
        <w:jc w:val="center"/>
        <w:textAlignment w:val="baseline"/>
        <w:rPr>
          <w:sz w:val="20"/>
        </w:rPr>
      </w:pPr>
      <w:r>
        <w:rPr>
          <w:noProof/>
        </w:rPr>
        <w:lastRenderedPageBreak/>
        <w:drawing>
          <wp:inline distT="0" distB="0" distL="0" distR="0">
            <wp:extent cx="4156710" cy="2243455"/>
            <wp:effectExtent l="0" t="0" r="15240" b="44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E7D53" w:rsidRDefault="0098666E">
      <w:pPr>
        <w:ind w:firstLine="420"/>
        <w:jc w:val="center"/>
        <w:textAlignment w:val="baseline"/>
        <w:rPr>
          <w:sz w:val="16"/>
        </w:rPr>
      </w:pPr>
      <w:r>
        <w:rPr>
          <w:rFonts w:hint="eastAsia"/>
          <w:sz w:val="21"/>
        </w:rPr>
        <w:t>图</w:t>
      </w:r>
      <w:r>
        <w:rPr>
          <w:sz w:val="21"/>
        </w:rPr>
        <w:t>4</w:t>
      </w:r>
      <w:r>
        <w:rPr>
          <w:rFonts w:hint="eastAsia"/>
          <w:sz w:val="21"/>
        </w:rPr>
        <w:t>-</w:t>
      </w:r>
      <w:r>
        <w:rPr>
          <w:sz w:val="21"/>
        </w:rPr>
        <w:t xml:space="preserve">3 </w:t>
      </w:r>
      <w:r>
        <w:rPr>
          <w:rFonts w:hint="eastAsia"/>
          <w:sz w:val="21"/>
        </w:rPr>
        <w:t>江苏省城镇污水处理厂不同规模运行负荷率</w:t>
      </w:r>
    </w:p>
    <w:p w:rsidR="008E7D53" w:rsidRDefault="0098666E">
      <w:pPr>
        <w:ind w:firstLineChars="0" w:firstLine="0"/>
        <w:jc w:val="center"/>
        <w:textAlignment w:val="baseline"/>
        <w:rPr>
          <w:sz w:val="20"/>
        </w:rPr>
      </w:pPr>
      <w:r>
        <w:rPr>
          <w:rFonts w:hint="eastAsia"/>
          <w:noProof/>
          <w:sz w:val="20"/>
        </w:rPr>
        <w:drawing>
          <wp:inline distT="0" distB="0" distL="0" distR="0">
            <wp:extent cx="4279900" cy="2660650"/>
            <wp:effectExtent l="0" t="0" r="6350" b="63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7D53" w:rsidRDefault="0098666E">
      <w:pPr>
        <w:ind w:firstLine="420"/>
        <w:jc w:val="center"/>
        <w:textAlignment w:val="baseline"/>
        <w:rPr>
          <w:sz w:val="21"/>
        </w:rPr>
      </w:pPr>
      <w:r>
        <w:rPr>
          <w:rFonts w:hint="eastAsia"/>
          <w:sz w:val="21"/>
        </w:rPr>
        <w:t>图</w:t>
      </w:r>
      <w:r>
        <w:rPr>
          <w:sz w:val="21"/>
        </w:rPr>
        <w:t>4</w:t>
      </w:r>
      <w:r>
        <w:rPr>
          <w:rFonts w:hint="eastAsia"/>
          <w:sz w:val="21"/>
        </w:rPr>
        <w:t>-</w:t>
      </w:r>
      <w:r>
        <w:rPr>
          <w:sz w:val="21"/>
        </w:rPr>
        <w:t>4</w:t>
      </w:r>
      <w:r>
        <w:rPr>
          <w:rFonts w:hint="eastAsia"/>
          <w:sz w:val="21"/>
        </w:rPr>
        <w:t xml:space="preserve"> </w:t>
      </w:r>
      <w:r>
        <w:rPr>
          <w:rFonts w:hint="eastAsia"/>
          <w:sz w:val="21"/>
        </w:rPr>
        <w:t>不同运行负荷率区段城镇污水处理厂占比</w:t>
      </w:r>
    </w:p>
    <w:p w:rsidR="008E7D53" w:rsidRDefault="0098666E">
      <w:pPr>
        <w:ind w:firstLine="480"/>
        <w:textAlignment w:val="baseline"/>
      </w:pPr>
      <w:r>
        <w:rPr>
          <w:rFonts w:hint="eastAsia"/>
        </w:rPr>
        <w:t>根据本文件选用的能耗计算公式，将能耗指标与运行负荷率的关系进行统计分析（如图</w:t>
      </w:r>
      <w:r>
        <w:t>4</w:t>
      </w:r>
      <w:r>
        <w:rPr>
          <w:rFonts w:hint="eastAsia"/>
        </w:rPr>
        <w:t>-</w:t>
      </w:r>
      <w:r>
        <w:t>5</w:t>
      </w:r>
      <w:r>
        <w:rPr>
          <w:rFonts w:hint="eastAsia"/>
        </w:rPr>
        <w:t>），结果表明：污水处理厂平均能耗随着运行负荷率的增加而降低，在运行负荷率小于</w:t>
      </w:r>
      <w:r>
        <w:rPr>
          <w:rFonts w:hint="eastAsia"/>
        </w:rPr>
        <w:t>60%</w:t>
      </w:r>
      <w:r>
        <w:rPr>
          <w:rFonts w:hint="eastAsia"/>
        </w:rPr>
        <w:t>时，污水处理厂能耗随运行负荷率降低而大幅度增加，运行负荷率大于等于</w:t>
      </w:r>
      <w:r>
        <w:rPr>
          <w:rFonts w:hint="eastAsia"/>
        </w:rPr>
        <w:t>60%</w:t>
      </w:r>
      <w:r>
        <w:rPr>
          <w:rFonts w:hint="eastAsia"/>
        </w:rPr>
        <w:t>，小于</w:t>
      </w:r>
      <w:r>
        <w:rPr>
          <w:rFonts w:hint="eastAsia"/>
        </w:rPr>
        <w:t>120%</w:t>
      </w:r>
      <w:r>
        <w:rPr>
          <w:rFonts w:hint="eastAsia"/>
        </w:rPr>
        <w:t>时，能耗变化趋势较平缓。有关文献在对全国</w:t>
      </w:r>
      <w:r>
        <w:rPr>
          <w:rFonts w:hint="eastAsia"/>
        </w:rPr>
        <w:t>1980</w:t>
      </w:r>
      <w:r>
        <w:rPr>
          <w:rFonts w:hint="eastAsia"/>
        </w:rPr>
        <w:t>座污水处理厂能耗指标与运行负荷率的关系研究中也得到相同结论。</w:t>
      </w:r>
    </w:p>
    <w:p w:rsidR="008E7D53" w:rsidRDefault="0098666E">
      <w:pPr>
        <w:ind w:firstLine="480"/>
        <w:textAlignment w:val="baseline"/>
      </w:pPr>
      <w:r>
        <w:rPr>
          <w:rFonts w:hint="eastAsia"/>
        </w:rPr>
        <w:t>因此，参考以上有关文件的规定和研究结果，结合江苏省实际，本文件按照污水处理运行负荷率大于等于</w:t>
      </w:r>
      <w:r>
        <w:rPr>
          <w:rFonts w:hint="eastAsia"/>
        </w:rPr>
        <w:t>60%</w:t>
      </w:r>
      <w:r>
        <w:rPr>
          <w:rFonts w:hint="eastAsia"/>
        </w:rPr>
        <w:t>的城镇污水处理厂能耗进行统计。</w:t>
      </w:r>
    </w:p>
    <w:p w:rsidR="008E7D53" w:rsidRDefault="0098666E">
      <w:pPr>
        <w:ind w:firstLine="400"/>
        <w:jc w:val="center"/>
        <w:textAlignment w:val="baseline"/>
        <w:rPr>
          <w:sz w:val="20"/>
        </w:rPr>
      </w:pPr>
      <w:r>
        <w:rPr>
          <w:rFonts w:hint="eastAsia"/>
          <w:noProof/>
          <w:sz w:val="20"/>
        </w:rPr>
        <w:lastRenderedPageBreak/>
        <w:drawing>
          <wp:inline distT="0" distB="0" distL="0" distR="0">
            <wp:extent cx="4699000" cy="2730500"/>
            <wp:effectExtent l="0" t="0" r="6350" b="1270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E7D53" w:rsidRDefault="0098666E">
      <w:pPr>
        <w:ind w:firstLine="420"/>
        <w:jc w:val="center"/>
        <w:textAlignment w:val="baseline"/>
        <w:rPr>
          <w:sz w:val="16"/>
        </w:rPr>
      </w:pPr>
      <w:r>
        <w:rPr>
          <w:rFonts w:hint="eastAsia"/>
          <w:sz w:val="21"/>
        </w:rPr>
        <w:t>图</w:t>
      </w:r>
      <w:r>
        <w:rPr>
          <w:sz w:val="21"/>
        </w:rPr>
        <w:t>4</w:t>
      </w:r>
      <w:r>
        <w:rPr>
          <w:rFonts w:hint="eastAsia"/>
          <w:sz w:val="21"/>
        </w:rPr>
        <w:t>-</w:t>
      </w:r>
      <w:r>
        <w:rPr>
          <w:sz w:val="21"/>
        </w:rPr>
        <w:t>5</w:t>
      </w:r>
      <w:r>
        <w:rPr>
          <w:rFonts w:hint="eastAsia"/>
          <w:sz w:val="21"/>
        </w:rPr>
        <w:t xml:space="preserve"> </w:t>
      </w:r>
      <w:r>
        <w:rPr>
          <w:rFonts w:hint="eastAsia"/>
          <w:sz w:val="21"/>
        </w:rPr>
        <w:t>不同运行负荷率区段城镇污水处理厂占比</w:t>
      </w:r>
    </w:p>
    <w:p w:rsidR="008E7D53" w:rsidRDefault="0098666E">
      <w:pPr>
        <w:ind w:firstLineChars="0" w:firstLine="0"/>
        <w:textAlignment w:val="baseline"/>
        <w:rPr>
          <w:b/>
          <w:sz w:val="20"/>
        </w:rPr>
      </w:pPr>
      <w:r>
        <w:rPr>
          <w:b/>
        </w:rPr>
        <w:t xml:space="preserve">4.7.2 </w:t>
      </w:r>
      <w:r>
        <w:rPr>
          <w:rFonts w:hint="eastAsia"/>
          <w:b/>
        </w:rPr>
        <w:t>处理规模和工艺</w:t>
      </w:r>
    </w:p>
    <w:p w:rsidR="008E7D53" w:rsidRDefault="0098666E">
      <w:pPr>
        <w:ind w:firstLine="480"/>
        <w:textAlignment w:val="baseline"/>
      </w:pPr>
      <w:r>
        <w:rPr>
          <w:rFonts w:hint="eastAsia"/>
        </w:rPr>
        <w:t>根据对江苏省城镇污水处理</w:t>
      </w:r>
      <w:r>
        <w:rPr>
          <w:rFonts w:hint="eastAsia"/>
        </w:rPr>
        <w:t>厂处理规模和工艺现状的分析及有关资料的调研，本文件确定的工艺和规模如表</w:t>
      </w:r>
      <w:r>
        <w:t>4-2</w:t>
      </w:r>
      <w:r>
        <w:rPr>
          <w:rFonts w:hint="eastAsia"/>
        </w:rPr>
        <w:t>所示。</w:t>
      </w:r>
    </w:p>
    <w:p w:rsidR="008E7D53" w:rsidRDefault="0098666E">
      <w:pPr>
        <w:ind w:firstLine="420"/>
        <w:jc w:val="center"/>
        <w:textAlignment w:val="baseline"/>
        <w:rPr>
          <w:sz w:val="16"/>
        </w:rPr>
      </w:pPr>
      <w:r>
        <w:rPr>
          <w:rFonts w:hint="eastAsia"/>
          <w:sz w:val="21"/>
        </w:rPr>
        <w:t>表</w:t>
      </w:r>
      <w:r>
        <w:rPr>
          <w:sz w:val="21"/>
        </w:rPr>
        <w:t>4</w:t>
      </w:r>
      <w:r>
        <w:rPr>
          <w:rFonts w:hint="eastAsia"/>
          <w:sz w:val="21"/>
        </w:rPr>
        <w:t>-</w:t>
      </w:r>
      <w:r>
        <w:rPr>
          <w:sz w:val="21"/>
        </w:rPr>
        <w:t>2</w:t>
      </w:r>
      <w:r>
        <w:rPr>
          <w:rFonts w:hint="eastAsia"/>
          <w:sz w:val="21"/>
        </w:rPr>
        <w:t xml:space="preserve"> </w:t>
      </w:r>
      <w:r>
        <w:rPr>
          <w:rFonts w:hint="eastAsia"/>
          <w:sz w:val="21"/>
        </w:rPr>
        <w:t>六种主流工艺及其主要应用污水处理厂规模</w:t>
      </w:r>
    </w:p>
    <w:tbl>
      <w:tblPr>
        <w:tblStyle w:val="aff5"/>
        <w:tblW w:w="5000" w:type="pct"/>
        <w:jc w:val="center"/>
        <w:tblCellMar>
          <w:left w:w="0" w:type="dxa"/>
          <w:right w:w="0" w:type="dxa"/>
        </w:tblCellMar>
        <w:tblLook w:val="04A0" w:firstRow="1" w:lastRow="0" w:firstColumn="1" w:lastColumn="0" w:noHBand="0" w:noVBand="1"/>
      </w:tblPr>
      <w:tblGrid>
        <w:gridCol w:w="1835"/>
        <w:gridCol w:w="6467"/>
      </w:tblGrid>
      <w:tr w:rsidR="008E7D53">
        <w:trPr>
          <w:tblHeader/>
          <w:jc w:val="center"/>
        </w:trPr>
        <w:tc>
          <w:tcPr>
            <w:tcW w:w="1833" w:type="dxa"/>
            <w:vAlign w:val="center"/>
          </w:tcPr>
          <w:p w:rsidR="008E7D53" w:rsidRDefault="0098666E">
            <w:pPr>
              <w:spacing w:line="240" w:lineRule="auto"/>
              <w:ind w:firstLineChars="0" w:firstLine="0"/>
              <w:jc w:val="center"/>
              <w:textAlignment w:val="baseline"/>
              <w:rPr>
                <w:sz w:val="21"/>
                <w:szCs w:val="21"/>
              </w:rPr>
            </w:pPr>
            <w:r>
              <w:rPr>
                <w:rFonts w:hint="eastAsia"/>
                <w:sz w:val="21"/>
                <w:szCs w:val="21"/>
              </w:rPr>
              <w:t>处理工艺</w:t>
            </w: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rFonts w:hint="eastAsia"/>
                <w:sz w:val="21"/>
                <w:szCs w:val="21"/>
              </w:rPr>
              <w:t>设计处理规模（万</w:t>
            </w:r>
            <w:r>
              <w:rPr>
                <w:sz w:val="21"/>
                <w:szCs w:val="21"/>
              </w:rPr>
              <w:t>m</w:t>
            </w:r>
            <w:r>
              <w:rPr>
                <w:sz w:val="21"/>
                <w:szCs w:val="21"/>
                <w:vertAlign w:val="superscript"/>
              </w:rPr>
              <w:t>3</w:t>
            </w:r>
            <w:r>
              <w:rPr>
                <w:sz w:val="21"/>
                <w:szCs w:val="21"/>
              </w:rPr>
              <w:t>/d</w:t>
            </w:r>
            <w:r>
              <w:rPr>
                <w:rFonts w:hint="eastAsia"/>
                <w:sz w:val="21"/>
                <w:szCs w:val="21"/>
              </w:rPr>
              <w:t>）</w:t>
            </w:r>
          </w:p>
        </w:tc>
      </w:tr>
      <w:tr w:rsidR="008E7D53">
        <w:trPr>
          <w:jc w:val="center"/>
        </w:trPr>
        <w:tc>
          <w:tcPr>
            <w:tcW w:w="1833" w:type="dxa"/>
            <w:vMerge w:val="restart"/>
            <w:vAlign w:val="center"/>
          </w:tcPr>
          <w:p w:rsidR="008E7D53" w:rsidRDefault="0098666E">
            <w:pPr>
              <w:spacing w:line="240" w:lineRule="auto"/>
              <w:ind w:firstLineChars="0" w:firstLine="0"/>
              <w:jc w:val="center"/>
              <w:textAlignment w:val="baseline"/>
              <w:rPr>
                <w:sz w:val="21"/>
                <w:szCs w:val="21"/>
              </w:rPr>
            </w:pPr>
            <w:r>
              <w:rPr>
                <w:sz w:val="21"/>
                <w:szCs w:val="21"/>
              </w:rPr>
              <w:t>A</w:t>
            </w:r>
            <w:r>
              <w:rPr>
                <w:sz w:val="21"/>
                <w:szCs w:val="21"/>
                <w:vertAlign w:val="superscript"/>
              </w:rPr>
              <w:t>2</w:t>
            </w:r>
            <w:r>
              <w:rPr>
                <w:sz w:val="21"/>
                <w:szCs w:val="21"/>
              </w:rPr>
              <w:t>/O</w:t>
            </w:r>
            <w:r>
              <w:rPr>
                <w:rFonts w:hint="eastAsia"/>
                <w:sz w:val="21"/>
                <w:szCs w:val="21"/>
              </w:rPr>
              <w:t>及其变形</w:t>
            </w: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1</w:t>
            </w:r>
            <w:r>
              <w:rPr>
                <w:rFonts w:hint="eastAsia"/>
                <w:sz w:val="21"/>
                <w:szCs w:val="21"/>
              </w:rPr>
              <w:t>以下</w:t>
            </w:r>
          </w:p>
        </w:tc>
      </w:tr>
      <w:tr w:rsidR="008E7D53">
        <w:trPr>
          <w:jc w:val="center"/>
        </w:trPr>
        <w:tc>
          <w:tcPr>
            <w:tcW w:w="1833" w:type="dxa"/>
            <w:vMerge/>
            <w:vAlign w:val="center"/>
          </w:tcPr>
          <w:p w:rsidR="008E7D53" w:rsidRDefault="008E7D53">
            <w:pPr>
              <w:spacing w:line="240" w:lineRule="auto"/>
              <w:ind w:firstLineChars="0" w:firstLine="0"/>
              <w:jc w:val="center"/>
              <w:textAlignment w:val="baseline"/>
              <w:rPr>
                <w:sz w:val="21"/>
                <w:szCs w:val="21"/>
              </w:rPr>
            </w:pP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1~5</w:t>
            </w:r>
            <w:r>
              <w:rPr>
                <w:rFonts w:hint="eastAsia"/>
                <w:sz w:val="21"/>
                <w:szCs w:val="21"/>
              </w:rPr>
              <w:t>（含</w:t>
            </w:r>
            <w:r>
              <w:rPr>
                <w:sz w:val="21"/>
                <w:szCs w:val="21"/>
              </w:rPr>
              <w:t>1</w:t>
            </w:r>
            <w:r>
              <w:rPr>
                <w:rFonts w:hint="eastAsia"/>
                <w:sz w:val="21"/>
                <w:szCs w:val="21"/>
              </w:rPr>
              <w:t>）</w:t>
            </w:r>
          </w:p>
        </w:tc>
      </w:tr>
      <w:tr w:rsidR="008E7D53">
        <w:trPr>
          <w:jc w:val="center"/>
        </w:trPr>
        <w:tc>
          <w:tcPr>
            <w:tcW w:w="1833" w:type="dxa"/>
            <w:vMerge/>
            <w:vAlign w:val="center"/>
          </w:tcPr>
          <w:p w:rsidR="008E7D53" w:rsidRDefault="008E7D53">
            <w:pPr>
              <w:spacing w:line="240" w:lineRule="auto"/>
              <w:ind w:firstLineChars="0" w:firstLine="0"/>
              <w:jc w:val="center"/>
              <w:textAlignment w:val="baseline"/>
              <w:rPr>
                <w:sz w:val="21"/>
                <w:szCs w:val="21"/>
              </w:rPr>
            </w:pP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5~10</w:t>
            </w:r>
            <w:r>
              <w:rPr>
                <w:rFonts w:hint="eastAsia"/>
                <w:sz w:val="21"/>
                <w:szCs w:val="21"/>
              </w:rPr>
              <w:t>（含</w:t>
            </w:r>
            <w:r>
              <w:rPr>
                <w:sz w:val="21"/>
                <w:szCs w:val="21"/>
              </w:rPr>
              <w:t>5</w:t>
            </w:r>
            <w:r>
              <w:rPr>
                <w:rFonts w:hint="eastAsia"/>
                <w:sz w:val="21"/>
                <w:szCs w:val="21"/>
              </w:rPr>
              <w:t>）</w:t>
            </w:r>
          </w:p>
        </w:tc>
      </w:tr>
      <w:tr w:rsidR="008E7D53">
        <w:trPr>
          <w:jc w:val="center"/>
        </w:trPr>
        <w:tc>
          <w:tcPr>
            <w:tcW w:w="1833" w:type="dxa"/>
            <w:vMerge/>
            <w:vAlign w:val="center"/>
          </w:tcPr>
          <w:p w:rsidR="008E7D53" w:rsidRDefault="008E7D53">
            <w:pPr>
              <w:spacing w:line="240" w:lineRule="auto"/>
              <w:ind w:firstLineChars="0" w:firstLine="0"/>
              <w:jc w:val="center"/>
              <w:textAlignment w:val="baseline"/>
              <w:rPr>
                <w:sz w:val="21"/>
                <w:szCs w:val="21"/>
              </w:rPr>
            </w:pP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10~20</w:t>
            </w:r>
            <w:r>
              <w:rPr>
                <w:rFonts w:hint="eastAsia"/>
                <w:sz w:val="21"/>
                <w:szCs w:val="21"/>
              </w:rPr>
              <w:t>（含</w:t>
            </w:r>
            <w:r>
              <w:rPr>
                <w:sz w:val="21"/>
                <w:szCs w:val="21"/>
              </w:rPr>
              <w:t>10</w:t>
            </w:r>
            <w:r>
              <w:rPr>
                <w:rFonts w:hint="eastAsia"/>
                <w:sz w:val="21"/>
                <w:szCs w:val="21"/>
              </w:rPr>
              <w:t>）</w:t>
            </w:r>
          </w:p>
        </w:tc>
      </w:tr>
      <w:tr w:rsidR="008E7D53">
        <w:trPr>
          <w:jc w:val="center"/>
        </w:trPr>
        <w:tc>
          <w:tcPr>
            <w:tcW w:w="1833" w:type="dxa"/>
            <w:vMerge/>
            <w:vAlign w:val="center"/>
          </w:tcPr>
          <w:p w:rsidR="008E7D53" w:rsidRDefault="008E7D53">
            <w:pPr>
              <w:spacing w:line="240" w:lineRule="auto"/>
              <w:ind w:firstLineChars="0" w:firstLine="0"/>
              <w:jc w:val="center"/>
              <w:textAlignment w:val="baseline"/>
              <w:rPr>
                <w:sz w:val="21"/>
                <w:szCs w:val="21"/>
              </w:rPr>
            </w:pP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20</w:t>
            </w:r>
            <w:r>
              <w:rPr>
                <w:rFonts w:hint="eastAsia"/>
                <w:sz w:val="21"/>
                <w:szCs w:val="21"/>
              </w:rPr>
              <w:t>以上（含</w:t>
            </w:r>
            <w:r>
              <w:rPr>
                <w:sz w:val="21"/>
                <w:szCs w:val="21"/>
              </w:rPr>
              <w:t>20</w:t>
            </w:r>
            <w:r>
              <w:rPr>
                <w:rFonts w:hint="eastAsia"/>
                <w:sz w:val="21"/>
                <w:szCs w:val="21"/>
              </w:rPr>
              <w:t>）</w:t>
            </w:r>
          </w:p>
        </w:tc>
      </w:tr>
      <w:tr w:rsidR="008E7D53">
        <w:trPr>
          <w:jc w:val="center"/>
        </w:trPr>
        <w:tc>
          <w:tcPr>
            <w:tcW w:w="1833" w:type="dxa"/>
            <w:vMerge w:val="restart"/>
            <w:vAlign w:val="center"/>
          </w:tcPr>
          <w:p w:rsidR="008E7D53" w:rsidRDefault="0098666E">
            <w:pPr>
              <w:spacing w:line="240" w:lineRule="auto"/>
              <w:ind w:firstLineChars="0" w:firstLine="0"/>
              <w:jc w:val="center"/>
              <w:textAlignment w:val="baseline"/>
              <w:rPr>
                <w:sz w:val="21"/>
                <w:szCs w:val="21"/>
              </w:rPr>
            </w:pPr>
            <w:r>
              <w:rPr>
                <w:rFonts w:hint="eastAsia"/>
                <w:sz w:val="21"/>
                <w:szCs w:val="21"/>
              </w:rPr>
              <w:t>氧化沟及其变形</w:t>
            </w: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1</w:t>
            </w:r>
            <w:r>
              <w:rPr>
                <w:rFonts w:hint="eastAsia"/>
                <w:sz w:val="21"/>
                <w:szCs w:val="21"/>
              </w:rPr>
              <w:t>以下</w:t>
            </w:r>
          </w:p>
        </w:tc>
      </w:tr>
      <w:tr w:rsidR="008E7D53">
        <w:trPr>
          <w:jc w:val="center"/>
        </w:trPr>
        <w:tc>
          <w:tcPr>
            <w:tcW w:w="1833" w:type="dxa"/>
            <w:vMerge/>
            <w:vAlign w:val="center"/>
          </w:tcPr>
          <w:p w:rsidR="008E7D53" w:rsidRDefault="008E7D53">
            <w:pPr>
              <w:spacing w:line="240" w:lineRule="auto"/>
              <w:ind w:firstLineChars="0" w:firstLine="0"/>
              <w:jc w:val="center"/>
              <w:textAlignment w:val="baseline"/>
              <w:rPr>
                <w:sz w:val="21"/>
                <w:szCs w:val="21"/>
              </w:rPr>
            </w:pP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1~5</w:t>
            </w:r>
            <w:r>
              <w:rPr>
                <w:rFonts w:hint="eastAsia"/>
                <w:sz w:val="21"/>
                <w:szCs w:val="21"/>
              </w:rPr>
              <w:t>（含</w:t>
            </w:r>
            <w:r>
              <w:rPr>
                <w:sz w:val="21"/>
                <w:szCs w:val="21"/>
              </w:rPr>
              <w:t>1</w:t>
            </w:r>
            <w:r>
              <w:rPr>
                <w:rFonts w:hint="eastAsia"/>
                <w:sz w:val="21"/>
                <w:szCs w:val="21"/>
              </w:rPr>
              <w:t>）</w:t>
            </w:r>
          </w:p>
        </w:tc>
      </w:tr>
      <w:tr w:rsidR="008E7D53">
        <w:trPr>
          <w:jc w:val="center"/>
        </w:trPr>
        <w:tc>
          <w:tcPr>
            <w:tcW w:w="1833" w:type="dxa"/>
            <w:vMerge/>
            <w:vAlign w:val="center"/>
          </w:tcPr>
          <w:p w:rsidR="008E7D53" w:rsidRDefault="008E7D53">
            <w:pPr>
              <w:spacing w:line="240" w:lineRule="auto"/>
              <w:ind w:firstLineChars="0" w:firstLine="0"/>
              <w:jc w:val="center"/>
              <w:textAlignment w:val="baseline"/>
              <w:rPr>
                <w:sz w:val="21"/>
                <w:szCs w:val="21"/>
              </w:rPr>
            </w:pP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5~10</w:t>
            </w:r>
            <w:r>
              <w:rPr>
                <w:rFonts w:hint="eastAsia"/>
                <w:sz w:val="21"/>
                <w:szCs w:val="21"/>
              </w:rPr>
              <w:t>（含</w:t>
            </w:r>
            <w:r>
              <w:rPr>
                <w:sz w:val="21"/>
                <w:szCs w:val="21"/>
              </w:rPr>
              <w:t>5</w:t>
            </w:r>
            <w:r>
              <w:rPr>
                <w:rFonts w:hint="eastAsia"/>
                <w:sz w:val="21"/>
                <w:szCs w:val="21"/>
              </w:rPr>
              <w:t>）</w:t>
            </w:r>
          </w:p>
        </w:tc>
      </w:tr>
      <w:tr w:rsidR="008E7D53">
        <w:trPr>
          <w:jc w:val="center"/>
        </w:trPr>
        <w:tc>
          <w:tcPr>
            <w:tcW w:w="1833" w:type="dxa"/>
            <w:vMerge w:val="restart"/>
            <w:vAlign w:val="center"/>
          </w:tcPr>
          <w:p w:rsidR="008E7D53" w:rsidRDefault="0098666E">
            <w:pPr>
              <w:spacing w:line="240" w:lineRule="auto"/>
              <w:ind w:firstLineChars="0" w:firstLine="0"/>
              <w:jc w:val="center"/>
              <w:textAlignment w:val="baseline"/>
              <w:rPr>
                <w:sz w:val="21"/>
                <w:szCs w:val="21"/>
              </w:rPr>
            </w:pPr>
            <w:r>
              <w:rPr>
                <w:sz w:val="21"/>
                <w:szCs w:val="21"/>
              </w:rPr>
              <w:t>A/O</w:t>
            </w:r>
            <w:r>
              <w:rPr>
                <w:rFonts w:hint="eastAsia"/>
                <w:sz w:val="21"/>
                <w:szCs w:val="21"/>
              </w:rPr>
              <w:t>及其变形</w:t>
            </w: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1</w:t>
            </w:r>
            <w:r>
              <w:rPr>
                <w:rFonts w:hint="eastAsia"/>
                <w:sz w:val="21"/>
                <w:szCs w:val="21"/>
              </w:rPr>
              <w:t>以下</w:t>
            </w:r>
          </w:p>
        </w:tc>
      </w:tr>
      <w:tr w:rsidR="008E7D53">
        <w:trPr>
          <w:jc w:val="center"/>
        </w:trPr>
        <w:tc>
          <w:tcPr>
            <w:tcW w:w="1833" w:type="dxa"/>
            <w:vMerge/>
            <w:vAlign w:val="center"/>
          </w:tcPr>
          <w:p w:rsidR="008E7D53" w:rsidRDefault="008E7D53">
            <w:pPr>
              <w:spacing w:line="240" w:lineRule="auto"/>
              <w:ind w:firstLineChars="0" w:firstLine="0"/>
              <w:jc w:val="center"/>
              <w:textAlignment w:val="baseline"/>
              <w:rPr>
                <w:sz w:val="21"/>
                <w:szCs w:val="21"/>
              </w:rPr>
            </w:pP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1~5</w:t>
            </w:r>
            <w:r>
              <w:rPr>
                <w:rFonts w:hint="eastAsia"/>
                <w:sz w:val="21"/>
                <w:szCs w:val="21"/>
              </w:rPr>
              <w:t>（含</w:t>
            </w:r>
            <w:r>
              <w:rPr>
                <w:sz w:val="21"/>
                <w:szCs w:val="21"/>
              </w:rPr>
              <w:t>1</w:t>
            </w:r>
            <w:r>
              <w:rPr>
                <w:rFonts w:hint="eastAsia"/>
                <w:sz w:val="21"/>
                <w:szCs w:val="21"/>
              </w:rPr>
              <w:t>）</w:t>
            </w:r>
          </w:p>
        </w:tc>
      </w:tr>
      <w:tr w:rsidR="008E7D53">
        <w:trPr>
          <w:jc w:val="center"/>
        </w:trPr>
        <w:tc>
          <w:tcPr>
            <w:tcW w:w="1833" w:type="dxa"/>
            <w:vMerge w:val="restart"/>
            <w:vAlign w:val="center"/>
          </w:tcPr>
          <w:p w:rsidR="008E7D53" w:rsidRDefault="0098666E">
            <w:pPr>
              <w:spacing w:line="240" w:lineRule="auto"/>
              <w:ind w:firstLineChars="0" w:firstLine="0"/>
              <w:jc w:val="center"/>
              <w:textAlignment w:val="baseline"/>
              <w:rPr>
                <w:sz w:val="21"/>
                <w:szCs w:val="21"/>
              </w:rPr>
            </w:pPr>
            <w:r>
              <w:rPr>
                <w:sz w:val="21"/>
                <w:szCs w:val="21"/>
              </w:rPr>
              <w:t>SBR</w:t>
            </w:r>
            <w:r>
              <w:rPr>
                <w:rFonts w:hint="eastAsia"/>
                <w:sz w:val="21"/>
                <w:szCs w:val="21"/>
              </w:rPr>
              <w:t>及其变形</w:t>
            </w: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1</w:t>
            </w:r>
            <w:r>
              <w:rPr>
                <w:rFonts w:hint="eastAsia"/>
                <w:sz w:val="21"/>
                <w:szCs w:val="21"/>
              </w:rPr>
              <w:t>以下</w:t>
            </w:r>
          </w:p>
        </w:tc>
      </w:tr>
      <w:tr w:rsidR="008E7D53">
        <w:trPr>
          <w:jc w:val="center"/>
        </w:trPr>
        <w:tc>
          <w:tcPr>
            <w:tcW w:w="1833" w:type="dxa"/>
            <w:vMerge/>
            <w:vAlign w:val="center"/>
          </w:tcPr>
          <w:p w:rsidR="008E7D53" w:rsidRDefault="008E7D53">
            <w:pPr>
              <w:spacing w:line="240" w:lineRule="auto"/>
              <w:ind w:firstLineChars="0" w:firstLine="0"/>
              <w:jc w:val="center"/>
              <w:textAlignment w:val="baseline"/>
              <w:rPr>
                <w:sz w:val="21"/>
                <w:szCs w:val="21"/>
              </w:rPr>
            </w:pP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1~5</w:t>
            </w:r>
            <w:r>
              <w:rPr>
                <w:rFonts w:hint="eastAsia"/>
                <w:sz w:val="21"/>
                <w:szCs w:val="21"/>
              </w:rPr>
              <w:t>（含</w:t>
            </w:r>
            <w:r>
              <w:rPr>
                <w:sz w:val="21"/>
                <w:szCs w:val="21"/>
              </w:rPr>
              <w:t>1</w:t>
            </w:r>
            <w:r>
              <w:rPr>
                <w:rFonts w:hint="eastAsia"/>
                <w:sz w:val="21"/>
                <w:szCs w:val="21"/>
              </w:rPr>
              <w:t>）</w:t>
            </w:r>
          </w:p>
        </w:tc>
      </w:tr>
      <w:tr w:rsidR="008E7D53">
        <w:trPr>
          <w:jc w:val="center"/>
        </w:trPr>
        <w:tc>
          <w:tcPr>
            <w:tcW w:w="1833" w:type="dxa"/>
            <w:vAlign w:val="center"/>
          </w:tcPr>
          <w:p w:rsidR="008E7D53" w:rsidRDefault="0098666E">
            <w:pPr>
              <w:spacing w:line="240" w:lineRule="auto"/>
              <w:ind w:firstLineChars="0" w:firstLine="0"/>
              <w:jc w:val="center"/>
              <w:textAlignment w:val="baseline"/>
              <w:rPr>
                <w:sz w:val="21"/>
                <w:szCs w:val="21"/>
              </w:rPr>
            </w:pPr>
            <w:r>
              <w:rPr>
                <w:rFonts w:hint="eastAsia"/>
                <w:sz w:val="21"/>
                <w:szCs w:val="21"/>
              </w:rPr>
              <w:t>生物膜法</w:t>
            </w: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sz w:val="21"/>
                <w:szCs w:val="21"/>
              </w:rPr>
              <w:t>1</w:t>
            </w:r>
            <w:r>
              <w:rPr>
                <w:rFonts w:hint="eastAsia"/>
                <w:sz w:val="21"/>
                <w:szCs w:val="21"/>
              </w:rPr>
              <w:t>以下</w:t>
            </w:r>
          </w:p>
        </w:tc>
      </w:tr>
      <w:tr w:rsidR="008E7D53">
        <w:trPr>
          <w:jc w:val="center"/>
        </w:trPr>
        <w:tc>
          <w:tcPr>
            <w:tcW w:w="1833" w:type="dxa"/>
            <w:vAlign w:val="center"/>
          </w:tcPr>
          <w:p w:rsidR="008E7D53" w:rsidRDefault="0098666E">
            <w:pPr>
              <w:spacing w:line="240" w:lineRule="auto"/>
              <w:ind w:firstLineChars="0" w:firstLine="0"/>
              <w:jc w:val="center"/>
              <w:textAlignment w:val="baseline"/>
              <w:rPr>
                <w:sz w:val="21"/>
                <w:szCs w:val="21"/>
              </w:rPr>
            </w:pPr>
            <w:r>
              <w:rPr>
                <w:rFonts w:hint="eastAsia"/>
                <w:sz w:val="21"/>
                <w:szCs w:val="21"/>
              </w:rPr>
              <w:t>M</w:t>
            </w:r>
            <w:r>
              <w:rPr>
                <w:sz w:val="21"/>
                <w:szCs w:val="21"/>
              </w:rPr>
              <w:t>BR</w:t>
            </w:r>
          </w:p>
        </w:tc>
        <w:tc>
          <w:tcPr>
            <w:tcW w:w="6459" w:type="dxa"/>
            <w:shd w:val="clear" w:color="auto" w:fill="auto"/>
            <w:vAlign w:val="center"/>
          </w:tcPr>
          <w:p w:rsidR="008E7D53" w:rsidRDefault="0098666E">
            <w:pPr>
              <w:spacing w:line="240" w:lineRule="auto"/>
              <w:ind w:firstLineChars="0" w:firstLine="0"/>
              <w:jc w:val="center"/>
              <w:textAlignment w:val="baseline"/>
              <w:rPr>
                <w:sz w:val="21"/>
                <w:szCs w:val="21"/>
              </w:rPr>
            </w:pPr>
            <w:r>
              <w:rPr>
                <w:rFonts w:hint="eastAsia"/>
                <w:sz w:val="21"/>
                <w:szCs w:val="21"/>
              </w:rPr>
              <w:t>/</w:t>
            </w:r>
          </w:p>
        </w:tc>
      </w:tr>
    </w:tbl>
    <w:p w:rsidR="008E7D53" w:rsidRDefault="0098666E">
      <w:pPr>
        <w:ind w:firstLine="482"/>
        <w:textAlignment w:val="baseline"/>
        <w:rPr>
          <w:b/>
          <w:sz w:val="20"/>
        </w:rPr>
      </w:pPr>
      <w:r>
        <w:rPr>
          <w:rFonts w:hint="eastAsia"/>
          <w:b/>
        </w:rPr>
        <w:t>（</w:t>
      </w:r>
      <w:r>
        <w:rPr>
          <w:rFonts w:hint="eastAsia"/>
          <w:b/>
        </w:rPr>
        <w:t>1</w:t>
      </w:r>
      <w:r>
        <w:rPr>
          <w:rFonts w:hint="eastAsia"/>
          <w:b/>
        </w:rPr>
        <w:t>）处理规模现状分析</w:t>
      </w:r>
    </w:p>
    <w:p w:rsidR="008E7D53" w:rsidRDefault="0098666E">
      <w:pPr>
        <w:ind w:firstLine="480"/>
        <w:textAlignment w:val="baseline"/>
      </w:pPr>
      <w:r>
        <w:rPr>
          <w:rFonts w:hint="eastAsia"/>
        </w:rPr>
        <w:t>根据《城乡建设统计年鉴》（</w:t>
      </w:r>
      <w:r>
        <w:rPr>
          <w:rFonts w:hint="eastAsia"/>
        </w:rPr>
        <w:t>2</w:t>
      </w:r>
      <w:r>
        <w:t>019</w:t>
      </w:r>
      <w:r>
        <w:rPr>
          <w:rFonts w:hint="eastAsia"/>
        </w:rPr>
        <w:t>），截至</w:t>
      </w:r>
      <w:r>
        <w:rPr>
          <w:rFonts w:hint="eastAsia"/>
        </w:rPr>
        <w:t>2</w:t>
      </w:r>
      <w:r>
        <w:t>019</w:t>
      </w:r>
      <w:r>
        <w:rPr>
          <w:rFonts w:hint="eastAsia"/>
        </w:rPr>
        <w:t>年，江苏省共</w:t>
      </w:r>
      <w:r>
        <w:rPr>
          <w:rFonts w:hint="eastAsia"/>
        </w:rPr>
        <w:t>有</w:t>
      </w:r>
      <w:r>
        <w:rPr>
          <w:rFonts w:hint="eastAsia"/>
        </w:rPr>
        <w:t>9</w:t>
      </w:r>
      <w:r>
        <w:t>65</w:t>
      </w:r>
      <w:r>
        <w:rPr>
          <w:rFonts w:hint="eastAsia"/>
        </w:rPr>
        <w:t>家城镇污水处理厂，合计设计规模</w:t>
      </w:r>
      <w:r>
        <w:t>1914.61</w:t>
      </w:r>
      <w:r>
        <w:rPr>
          <w:rFonts w:hint="eastAsia"/>
        </w:rPr>
        <w:t>万吨</w:t>
      </w:r>
      <w:r>
        <w:rPr>
          <w:rFonts w:hint="eastAsia"/>
        </w:rPr>
        <w:t>/</w:t>
      </w:r>
      <w:r>
        <w:rPr>
          <w:rFonts w:hint="eastAsia"/>
        </w:rPr>
        <w:t>天。根据《城市污水处理工程项目建设标准》（</w:t>
      </w:r>
      <w:r>
        <w:rPr>
          <w:rFonts w:hint="eastAsia"/>
        </w:rPr>
        <w:t>2001</w:t>
      </w:r>
      <w:r>
        <w:rPr>
          <w:rFonts w:hint="eastAsia"/>
        </w:rPr>
        <w:t>）、《江苏省城镇污水处理厂运行管理考核标准》（</w:t>
      </w:r>
      <w:r>
        <w:rPr>
          <w:rFonts w:hint="eastAsia"/>
        </w:rPr>
        <w:t>2020</w:t>
      </w:r>
      <w:r>
        <w:rPr>
          <w:rFonts w:hint="eastAsia"/>
        </w:rPr>
        <w:t>版）、以及北京市地放标准《城镇污水处理厂能源消耗限额》（</w:t>
      </w:r>
      <w:r>
        <w:rPr>
          <w:rFonts w:hint="eastAsia"/>
        </w:rPr>
        <w:t>DB11/T 1118-2014</w:t>
      </w:r>
      <w:r>
        <w:rPr>
          <w:rFonts w:hint="eastAsia"/>
        </w:rPr>
        <w:t>）中对污水处</w:t>
      </w:r>
      <w:r>
        <w:rPr>
          <w:rFonts w:hint="eastAsia"/>
        </w:rPr>
        <w:lastRenderedPageBreak/>
        <w:t>理厂设计规模的划分，对截至</w:t>
      </w:r>
      <w:r>
        <w:rPr>
          <w:rFonts w:hint="eastAsia"/>
        </w:rPr>
        <w:t>2</w:t>
      </w:r>
      <w:r>
        <w:t>019</w:t>
      </w:r>
      <w:r>
        <w:rPr>
          <w:rFonts w:hint="eastAsia"/>
        </w:rPr>
        <w:t>年底的江苏省城镇污水处理厂设计处理规模进行划分并对数量进行统计，结果如图</w:t>
      </w:r>
      <w:r>
        <w:t>4</w:t>
      </w:r>
      <w:r>
        <w:rPr>
          <w:rFonts w:hint="eastAsia"/>
        </w:rPr>
        <w:t>-</w:t>
      </w:r>
      <w:r>
        <w:t>6</w:t>
      </w:r>
      <w:r>
        <w:rPr>
          <w:rFonts w:hint="eastAsia"/>
        </w:rPr>
        <w:t>所示。不同规模区间合计设计处理规模（万吨</w:t>
      </w:r>
      <w:r>
        <w:rPr>
          <w:rFonts w:hint="eastAsia"/>
        </w:rPr>
        <w:t>/</w:t>
      </w:r>
      <w:r>
        <w:rPr>
          <w:rFonts w:hint="eastAsia"/>
        </w:rPr>
        <w:t>日）统计结果如图</w:t>
      </w:r>
      <w:r>
        <w:t>4</w:t>
      </w:r>
      <w:r>
        <w:rPr>
          <w:rFonts w:hint="eastAsia"/>
        </w:rPr>
        <w:t>-</w:t>
      </w:r>
      <w:r>
        <w:t>7</w:t>
      </w:r>
      <w:r>
        <w:rPr>
          <w:rFonts w:hint="eastAsia"/>
        </w:rPr>
        <w:t>所示。</w:t>
      </w:r>
    </w:p>
    <w:p w:rsidR="008E7D53" w:rsidRDefault="0098666E">
      <w:pPr>
        <w:ind w:firstLine="480"/>
        <w:textAlignment w:val="baseline"/>
      </w:pPr>
      <w:r>
        <w:t>从图</w:t>
      </w:r>
      <w:r>
        <w:t>4-6</w:t>
      </w:r>
      <w:r>
        <w:t>和图</w:t>
      </w:r>
      <w:r>
        <w:t>4-7</w:t>
      </w:r>
      <w:r>
        <w:t>可以看出，江苏省城镇污水处理厂规模类型较多，污水处理厂以中小型规模类型为主，尤其是设计处理规模（</w:t>
      </w:r>
      <w:r>
        <w:t>S</w:t>
      </w:r>
      <w:r>
        <w:t>）</w:t>
      </w:r>
      <w:r>
        <w:t>&lt;1</w:t>
      </w:r>
      <w:r>
        <w:t>万吨</w:t>
      </w:r>
      <w:r>
        <w:t>/</w:t>
      </w:r>
      <w:r>
        <w:t>日的</w:t>
      </w:r>
      <w:r>
        <w:rPr>
          <w:rFonts w:hint="eastAsia"/>
        </w:rPr>
        <w:t>污水厂</w:t>
      </w:r>
      <w:r>
        <w:t>数量占比达到全省的</w:t>
      </w:r>
      <w:r>
        <w:t>66.32%</w:t>
      </w:r>
      <w:r>
        <w:t>，总设计处理能力占全省的</w:t>
      </w:r>
      <w:r>
        <w:t>12.34%</w:t>
      </w:r>
      <w:r>
        <w:t>。根据调研数据分析，相同工艺下，电耗一般随着规模减小而升高。因此在对污水处理厂进行能耗评价时，应该考虑规模的影响。同时，楚想想等人对</w:t>
      </w:r>
      <w:r>
        <w:t>2014</w:t>
      </w:r>
      <w:r>
        <w:t>年全国</w:t>
      </w:r>
      <w:r>
        <w:t>1980</w:t>
      </w:r>
      <w:r>
        <w:t>座污水处理厂的研究结果表明，中小型污水处理厂的能耗占全国污水处理厂总能耗</w:t>
      </w:r>
      <w:r>
        <w:t>54%</w:t>
      </w:r>
      <w:r>
        <w:t>，是节能降耗的重点。因此小规模污水处理厂的能耗也应纳入评价。</w:t>
      </w:r>
    </w:p>
    <w:p w:rsidR="008E7D53" w:rsidRDefault="0098666E">
      <w:pPr>
        <w:ind w:firstLine="400"/>
        <w:jc w:val="center"/>
        <w:textAlignment w:val="baseline"/>
        <w:rPr>
          <w:sz w:val="20"/>
          <w:szCs w:val="21"/>
        </w:rPr>
      </w:pPr>
      <w:r>
        <w:rPr>
          <w:rFonts w:hint="eastAsia"/>
          <w:noProof/>
          <w:sz w:val="20"/>
          <w:szCs w:val="21"/>
        </w:rPr>
        <w:drawing>
          <wp:inline distT="0" distB="0" distL="0" distR="0">
            <wp:extent cx="4298950" cy="2754630"/>
            <wp:effectExtent l="0" t="0" r="6350"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7D53" w:rsidRDefault="0098666E">
      <w:pPr>
        <w:ind w:firstLine="420"/>
        <w:jc w:val="center"/>
        <w:textAlignment w:val="baseline"/>
        <w:rPr>
          <w:sz w:val="16"/>
        </w:rPr>
      </w:pPr>
      <w:r>
        <w:rPr>
          <w:rFonts w:hint="eastAsia"/>
          <w:sz w:val="21"/>
        </w:rPr>
        <w:t>图</w:t>
      </w:r>
      <w:r>
        <w:rPr>
          <w:sz w:val="21"/>
        </w:rPr>
        <w:t xml:space="preserve">4-6 </w:t>
      </w:r>
      <w:r>
        <w:rPr>
          <w:rFonts w:hint="eastAsia"/>
          <w:sz w:val="21"/>
        </w:rPr>
        <w:t>江</w:t>
      </w:r>
      <w:r>
        <w:rPr>
          <w:rFonts w:hint="eastAsia"/>
          <w:sz w:val="21"/>
        </w:rPr>
        <w:t>苏省城镇污水处理厂不同规模数量及占比</w:t>
      </w:r>
    </w:p>
    <w:p w:rsidR="008E7D53" w:rsidRDefault="008E7D53">
      <w:pPr>
        <w:spacing w:after="156"/>
        <w:ind w:firstLineChars="0" w:firstLine="0"/>
        <w:jc w:val="center"/>
        <w:textAlignment w:val="baseline"/>
        <w:rPr>
          <w:sz w:val="20"/>
          <w:szCs w:val="21"/>
        </w:rPr>
      </w:pPr>
    </w:p>
    <w:p w:rsidR="008E7D53" w:rsidRDefault="0098666E">
      <w:pPr>
        <w:spacing w:after="156"/>
        <w:ind w:firstLineChars="0" w:firstLine="0"/>
        <w:jc w:val="center"/>
        <w:textAlignment w:val="baseline"/>
        <w:rPr>
          <w:sz w:val="20"/>
          <w:szCs w:val="21"/>
        </w:rPr>
      </w:pPr>
      <w:r>
        <w:rPr>
          <w:rFonts w:hint="eastAsia"/>
          <w:noProof/>
          <w:sz w:val="20"/>
          <w:szCs w:val="21"/>
        </w:rPr>
        <w:lastRenderedPageBreak/>
        <w:drawing>
          <wp:inline distT="0" distB="0" distL="0" distR="0">
            <wp:extent cx="4356100" cy="3130550"/>
            <wp:effectExtent l="0" t="0" r="6350" b="1270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7D53" w:rsidRDefault="0098666E">
      <w:pPr>
        <w:ind w:firstLine="420"/>
        <w:jc w:val="center"/>
        <w:textAlignment w:val="baseline"/>
        <w:rPr>
          <w:sz w:val="16"/>
        </w:rPr>
      </w:pPr>
      <w:r>
        <w:rPr>
          <w:rFonts w:hint="eastAsia"/>
          <w:sz w:val="21"/>
        </w:rPr>
        <w:t>图</w:t>
      </w:r>
      <w:r>
        <w:rPr>
          <w:sz w:val="21"/>
        </w:rPr>
        <w:t xml:space="preserve">4-7 </w:t>
      </w:r>
      <w:r>
        <w:rPr>
          <w:rFonts w:hint="eastAsia"/>
          <w:sz w:val="21"/>
        </w:rPr>
        <w:t>江苏省不同规模区间城镇污水处理厂合计设计规模及占比</w:t>
      </w:r>
    </w:p>
    <w:p w:rsidR="008E7D53" w:rsidRDefault="0098666E">
      <w:pPr>
        <w:ind w:firstLineChars="0" w:firstLine="0"/>
        <w:textAlignment w:val="baseline"/>
        <w:rPr>
          <w:b/>
          <w:sz w:val="20"/>
        </w:rPr>
      </w:pPr>
      <w:bookmarkStart w:id="34" w:name="_Toc85024823"/>
      <w:bookmarkStart w:id="35" w:name="_Toc85049441"/>
      <w:r>
        <w:rPr>
          <w:rFonts w:hint="eastAsia"/>
          <w:b/>
        </w:rPr>
        <w:t>（</w:t>
      </w:r>
      <w:r>
        <w:rPr>
          <w:rFonts w:hint="eastAsia"/>
          <w:b/>
        </w:rPr>
        <w:t>2</w:t>
      </w:r>
      <w:r>
        <w:rPr>
          <w:rFonts w:hint="eastAsia"/>
          <w:b/>
        </w:rPr>
        <w:t>）处理工艺现状</w:t>
      </w:r>
      <w:bookmarkEnd w:id="34"/>
      <w:bookmarkEnd w:id="35"/>
      <w:r>
        <w:rPr>
          <w:rFonts w:hint="eastAsia"/>
          <w:b/>
        </w:rPr>
        <w:t>分析</w:t>
      </w:r>
    </w:p>
    <w:p w:rsidR="008E7D53" w:rsidRDefault="0098666E">
      <w:pPr>
        <w:ind w:firstLine="480"/>
        <w:textAlignment w:val="baseline"/>
      </w:pPr>
      <w:r>
        <w:rPr>
          <w:rFonts w:hint="eastAsia"/>
        </w:rPr>
        <w:t>根据全国投运城镇污水处理设施清单统计的污水处理工艺大约</w:t>
      </w:r>
      <w:r>
        <w:rPr>
          <w:rFonts w:hint="eastAsia"/>
        </w:rPr>
        <w:t>30</w:t>
      </w:r>
      <w:r>
        <w:rPr>
          <w:rFonts w:hint="eastAsia"/>
        </w:rPr>
        <w:t>种。排名前</w:t>
      </w:r>
      <w:r>
        <w:rPr>
          <w:rFonts w:hint="eastAsia"/>
        </w:rPr>
        <w:t>1</w:t>
      </w:r>
      <w:r>
        <w:t>0</w:t>
      </w:r>
      <w:r>
        <w:rPr>
          <w:rFonts w:hint="eastAsia"/>
        </w:rPr>
        <w:t>的主流工艺及占比如图</w:t>
      </w:r>
      <w:r>
        <w:t>4-8</w:t>
      </w:r>
      <w:r>
        <w:rPr>
          <w:rFonts w:hint="eastAsia"/>
        </w:rPr>
        <w:t>所示。</w:t>
      </w:r>
    </w:p>
    <w:p w:rsidR="008E7D53" w:rsidRDefault="0098666E">
      <w:pPr>
        <w:ind w:firstLine="400"/>
        <w:jc w:val="center"/>
        <w:textAlignment w:val="baseline"/>
        <w:rPr>
          <w:sz w:val="20"/>
        </w:rPr>
      </w:pPr>
      <w:r>
        <w:rPr>
          <w:rFonts w:hint="eastAsia"/>
          <w:noProof/>
          <w:sz w:val="20"/>
        </w:rPr>
        <w:drawing>
          <wp:inline distT="0" distB="0" distL="0" distR="0">
            <wp:extent cx="5238750" cy="30099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7D53" w:rsidRDefault="0098666E">
      <w:pPr>
        <w:ind w:firstLine="420"/>
        <w:jc w:val="center"/>
        <w:textAlignment w:val="baseline"/>
        <w:rPr>
          <w:sz w:val="16"/>
        </w:rPr>
      </w:pPr>
      <w:r>
        <w:rPr>
          <w:rFonts w:hint="eastAsia"/>
          <w:sz w:val="21"/>
        </w:rPr>
        <w:t>图</w:t>
      </w:r>
      <w:r>
        <w:rPr>
          <w:sz w:val="21"/>
        </w:rPr>
        <w:t>4</w:t>
      </w:r>
      <w:r>
        <w:rPr>
          <w:rFonts w:hint="eastAsia"/>
          <w:sz w:val="21"/>
        </w:rPr>
        <w:t>-</w:t>
      </w:r>
      <w:r>
        <w:rPr>
          <w:sz w:val="21"/>
        </w:rPr>
        <w:t>8</w:t>
      </w:r>
      <w:r>
        <w:rPr>
          <w:rFonts w:hint="eastAsia"/>
          <w:sz w:val="21"/>
        </w:rPr>
        <w:t xml:space="preserve"> </w:t>
      </w:r>
      <w:r>
        <w:rPr>
          <w:rFonts w:hint="eastAsia"/>
          <w:sz w:val="21"/>
        </w:rPr>
        <w:t>全国投运城镇污水处理设施排名前</w:t>
      </w:r>
      <w:r>
        <w:rPr>
          <w:rFonts w:hint="eastAsia"/>
          <w:sz w:val="21"/>
        </w:rPr>
        <w:t>1</w:t>
      </w:r>
      <w:r>
        <w:rPr>
          <w:sz w:val="21"/>
        </w:rPr>
        <w:t>0</w:t>
      </w:r>
      <w:r>
        <w:rPr>
          <w:rFonts w:hint="eastAsia"/>
          <w:sz w:val="21"/>
        </w:rPr>
        <w:t>污水处理工艺及占比</w:t>
      </w:r>
    </w:p>
    <w:p w:rsidR="008E7D53" w:rsidRDefault="0098666E">
      <w:pPr>
        <w:ind w:firstLine="480"/>
        <w:textAlignment w:val="baseline"/>
      </w:pPr>
      <w:r>
        <w:rPr>
          <w:rFonts w:hint="eastAsia"/>
        </w:rPr>
        <w:t>结合全国第二次污染普查数据和调研问卷数据，编制组共获得</w:t>
      </w:r>
      <w:r>
        <w:rPr>
          <w:rFonts w:hint="eastAsia"/>
        </w:rPr>
        <w:t>822</w:t>
      </w:r>
      <w:r>
        <w:rPr>
          <w:rFonts w:hint="eastAsia"/>
        </w:rPr>
        <w:t>家江苏省城镇污水处理厂污水处理工艺情况，调研数量达到</w:t>
      </w:r>
      <w:r>
        <w:rPr>
          <w:rFonts w:hint="eastAsia"/>
        </w:rPr>
        <w:t>2</w:t>
      </w:r>
      <w:r>
        <w:t>019</w:t>
      </w:r>
      <w:r>
        <w:rPr>
          <w:rFonts w:hint="eastAsia"/>
        </w:rPr>
        <w:t>年底全省城镇污水处理厂总数的</w:t>
      </w:r>
      <w:r>
        <w:rPr>
          <w:rFonts w:hint="eastAsia"/>
        </w:rPr>
        <w:t>85.2%</w:t>
      </w:r>
      <w:r>
        <w:rPr>
          <w:rFonts w:hint="eastAsia"/>
        </w:rPr>
        <w:t>，污水处理工艺类型、数量及占比如图</w:t>
      </w:r>
      <w:r>
        <w:t>4-9</w:t>
      </w:r>
      <w:r>
        <w:rPr>
          <w:rFonts w:hint="eastAsia"/>
        </w:rPr>
        <w:t>所示。由于这些数据</w:t>
      </w:r>
      <w:r>
        <w:rPr>
          <w:rFonts w:hint="eastAsia"/>
        </w:rPr>
        <w:lastRenderedPageBreak/>
        <w:t>属于非抽样的普查数据，因此数据本身可以代表现阶段江苏省城镇污水处理厂各类工艺应用方面的总体情况。由图</w:t>
      </w:r>
      <w:r>
        <w:t>4</w:t>
      </w:r>
      <w:r>
        <w:rPr>
          <w:rFonts w:hint="eastAsia"/>
        </w:rPr>
        <w:t>-</w:t>
      </w:r>
      <w:r>
        <w:t>9</w:t>
      </w:r>
      <w:r>
        <w:rPr>
          <w:rFonts w:hint="eastAsia"/>
        </w:rPr>
        <w:t>可知，江苏省城镇污水处理厂采用的污水处理工艺类别达</w:t>
      </w:r>
      <w:r>
        <w:rPr>
          <w:rFonts w:hint="eastAsia"/>
        </w:rPr>
        <w:t>2</w:t>
      </w:r>
      <w:r>
        <w:t>7</w:t>
      </w:r>
      <w:r>
        <w:rPr>
          <w:rFonts w:hint="eastAsia"/>
        </w:rPr>
        <w:t>种，其中主流工艺分别为</w:t>
      </w:r>
      <w:r>
        <w:rPr>
          <w:rFonts w:hint="eastAsia"/>
        </w:rPr>
        <w:t>A</w:t>
      </w:r>
      <w:r>
        <w:rPr>
          <w:vertAlign w:val="superscript"/>
        </w:rPr>
        <w:t>2</w:t>
      </w:r>
      <w:r>
        <w:rPr>
          <w:rFonts w:hint="eastAsia"/>
        </w:rPr>
        <w:t>/O</w:t>
      </w:r>
      <w:r>
        <w:rPr>
          <w:rFonts w:hint="eastAsia"/>
        </w:rPr>
        <w:t>、</w:t>
      </w:r>
      <w:r>
        <w:rPr>
          <w:rFonts w:hint="eastAsia"/>
        </w:rPr>
        <w:t>A/O</w:t>
      </w:r>
      <w:r>
        <w:rPr>
          <w:rFonts w:hint="eastAsia"/>
        </w:rPr>
        <w:t>、氧化沟、生物转盘、</w:t>
      </w:r>
      <w:r>
        <w:rPr>
          <w:rFonts w:hint="eastAsia"/>
        </w:rPr>
        <w:t>SBR</w:t>
      </w:r>
      <w:r>
        <w:rPr>
          <w:rFonts w:hint="eastAsia"/>
        </w:rPr>
        <w:t>和</w:t>
      </w:r>
      <w:r>
        <w:rPr>
          <w:rFonts w:hint="eastAsia"/>
        </w:rPr>
        <w:t>MBR</w:t>
      </w:r>
      <w:r>
        <w:rPr>
          <w:rFonts w:hint="eastAsia"/>
        </w:rPr>
        <w:t>，占调研总数的</w:t>
      </w:r>
      <w:r>
        <w:rPr>
          <w:rFonts w:hint="eastAsia"/>
        </w:rPr>
        <w:t>8</w:t>
      </w:r>
      <w:r>
        <w:t>7.5</w:t>
      </w:r>
      <w:r>
        <w:rPr>
          <w:rFonts w:hint="eastAsia"/>
        </w:rPr>
        <w:t>%</w:t>
      </w:r>
      <w:r>
        <w:rPr>
          <w:rFonts w:hint="eastAsia"/>
        </w:rPr>
        <w:t>。与全国排名前</w:t>
      </w:r>
      <w:r>
        <w:rPr>
          <w:rFonts w:hint="eastAsia"/>
        </w:rPr>
        <w:t>1</w:t>
      </w:r>
      <w:r>
        <w:t>0</w:t>
      </w:r>
      <w:r>
        <w:rPr>
          <w:rFonts w:hint="eastAsia"/>
        </w:rPr>
        <w:t>污水处理工艺相比，江苏省城镇污水处理厂对生物转盘工艺应用较多，这与江苏省小型、微小型污水处理厂数量较多相符。</w:t>
      </w:r>
    </w:p>
    <w:p w:rsidR="008E7D53" w:rsidRDefault="0098666E">
      <w:pPr>
        <w:spacing w:after="156"/>
        <w:ind w:firstLineChars="0" w:firstLine="0"/>
        <w:jc w:val="center"/>
        <w:textAlignment w:val="baseline"/>
        <w:rPr>
          <w:sz w:val="20"/>
        </w:rPr>
      </w:pPr>
      <w:r>
        <w:rPr>
          <w:noProof/>
          <w:sz w:val="20"/>
        </w:rPr>
        <w:drawing>
          <wp:inline distT="0" distB="0" distL="0" distR="0">
            <wp:extent cx="5302250" cy="3671570"/>
            <wp:effectExtent l="0" t="0" r="12700" b="508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7D53" w:rsidRDefault="0098666E">
      <w:pPr>
        <w:ind w:firstLine="420"/>
        <w:jc w:val="center"/>
        <w:textAlignment w:val="baseline"/>
        <w:rPr>
          <w:sz w:val="16"/>
        </w:rPr>
      </w:pPr>
      <w:r>
        <w:rPr>
          <w:rFonts w:hint="eastAsia"/>
          <w:sz w:val="21"/>
        </w:rPr>
        <w:t>图</w:t>
      </w:r>
      <w:r>
        <w:rPr>
          <w:sz w:val="21"/>
        </w:rPr>
        <w:t>4</w:t>
      </w:r>
      <w:r>
        <w:rPr>
          <w:rFonts w:hint="eastAsia"/>
          <w:sz w:val="21"/>
        </w:rPr>
        <w:t>-</w:t>
      </w:r>
      <w:r>
        <w:rPr>
          <w:sz w:val="21"/>
        </w:rPr>
        <w:t>9</w:t>
      </w:r>
      <w:r>
        <w:rPr>
          <w:rFonts w:hint="eastAsia"/>
          <w:sz w:val="21"/>
        </w:rPr>
        <w:t xml:space="preserve"> </w:t>
      </w:r>
      <w:r>
        <w:rPr>
          <w:rFonts w:hint="eastAsia"/>
          <w:sz w:val="21"/>
        </w:rPr>
        <w:t>江苏省城镇污水处理厂污水处理工艺类型、数量及占比</w:t>
      </w:r>
    </w:p>
    <w:p w:rsidR="008E7D53" w:rsidRDefault="0098666E">
      <w:pPr>
        <w:ind w:firstLine="480"/>
        <w:textAlignment w:val="baseline"/>
      </w:pPr>
      <w:r>
        <w:rPr>
          <w:rFonts w:hint="eastAsia"/>
        </w:rPr>
        <w:t>编制组</w:t>
      </w:r>
      <w:r>
        <w:rPr>
          <w:rFonts w:hint="eastAsia"/>
        </w:rPr>
        <w:t>进一步对</w:t>
      </w:r>
      <w:r>
        <w:rPr>
          <w:rFonts w:hint="eastAsia"/>
        </w:rPr>
        <w:t>6</w:t>
      </w:r>
      <w:r>
        <w:rPr>
          <w:rFonts w:hint="eastAsia"/>
        </w:rPr>
        <w:t>种主流工艺</w:t>
      </w:r>
      <w:r>
        <w:rPr>
          <w:rFonts w:hint="eastAsia"/>
        </w:rPr>
        <w:t>A</w:t>
      </w:r>
      <w:r>
        <w:rPr>
          <w:vertAlign w:val="superscript"/>
        </w:rPr>
        <w:t>2</w:t>
      </w:r>
      <w:r>
        <w:t>/</w:t>
      </w:r>
      <w:r>
        <w:rPr>
          <w:rFonts w:hint="eastAsia"/>
        </w:rPr>
        <w:t>O</w:t>
      </w:r>
      <w:r>
        <w:rPr>
          <w:rFonts w:hint="eastAsia"/>
        </w:rPr>
        <w:t>、氧化沟、</w:t>
      </w:r>
      <w:r>
        <w:rPr>
          <w:rFonts w:hint="eastAsia"/>
        </w:rPr>
        <w:t>A</w:t>
      </w:r>
      <w:r>
        <w:t>/</w:t>
      </w:r>
      <w:r>
        <w:rPr>
          <w:rFonts w:hint="eastAsia"/>
        </w:rPr>
        <w:t>O</w:t>
      </w:r>
      <w:r>
        <w:rPr>
          <w:rFonts w:hint="eastAsia"/>
        </w:rPr>
        <w:t>、生物转盘、</w:t>
      </w:r>
      <w:r>
        <w:rPr>
          <w:rFonts w:hint="eastAsia"/>
        </w:rPr>
        <w:t>SBR</w:t>
      </w:r>
      <w:r>
        <w:rPr>
          <w:rFonts w:hint="eastAsia"/>
        </w:rPr>
        <w:t>和</w:t>
      </w:r>
      <w:r>
        <w:rPr>
          <w:rFonts w:hint="eastAsia"/>
        </w:rPr>
        <w:t>MBR</w:t>
      </w:r>
      <w:r>
        <w:rPr>
          <w:rFonts w:hint="eastAsia"/>
        </w:rPr>
        <w:t>进行分析，了解每种工艺在实际应用中</w:t>
      </w:r>
      <w:r>
        <w:rPr>
          <w:rFonts w:hint="eastAsia"/>
        </w:rPr>
        <w:t>适用</w:t>
      </w:r>
      <w:r>
        <w:rPr>
          <w:rFonts w:hint="eastAsia"/>
        </w:rPr>
        <w:t>污水处理厂</w:t>
      </w:r>
      <w:r>
        <w:rPr>
          <w:rFonts w:hint="eastAsia"/>
        </w:rPr>
        <w:t>的</w:t>
      </w:r>
      <w:r>
        <w:rPr>
          <w:rFonts w:hint="eastAsia"/>
        </w:rPr>
        <w:t>规模类型，结果如表</w:t>
      </w:r>
      <w:r>
        <w:t>4</w:t>
      </w:r>
      <w:r>
        <w:rPr>
          <w:rFonts w:hint="eastAsia"/>
        </w:rPr>
        <w:t>-</w:t>
      </w:r>
      <w:r>
        <w:t>3</w:t>
      </w:r>
      <w:r>
        <w:rPr>
          <w:rFonts w:hint="eastAsia"/>
        </w:rPr>
        <w:t>所示。由于这些数据属于非抽样的普查数据，因此数据本身可以代表现阶段江苏省城镇污水处理厂各类工艺在不同污水处理厂规模应用方面的总体情况。</w:t>
      </w:r>
    </w:p>
    <w:p w:rsidR="008E7D53" w:rsidRDefault="0098666E">
      <w:pPr>
        <w:ind w:firstLineChars="0" w:firstLine="0"/>
        <w:jc w:val="center"/>
        <w:textAlignment w:val="baseline"/>
        <w:rPr>
          <w:sz w:val="16"/>
        </w:rPr>
      </w:pPr>
      <w:r>
        <w:rPr>
          <w:rFonts w:hint="eastAsia"/>
          <w:sz w:val="21"/>
        </w:rPr>
        <w:t>表</w:t>
      </w:r>
      <w:r>
        <w:rPr>
          <w:sz w:val="21"/>
        </w:rPr>
        <w:t>4</w:t>
      </w:r>
      <w:r>
        <w:rPr>
          <w:rFonts w:hint="eastAsia"/>
          <w:sz w:val="21"/>
        </w:rPr>
        <w:t>-</w:t>
      </w:r>
      <w:r>
        <w:rPr>
          <w:sz w:val="21"/>
        </w:rPr>
        <w:t>3</w:t>
      </w:r>
      <w:r>
        <w:rPr>
          <w:rFonts w:hint="eastAsia"/>
          <w:sz w:val="21"/>
        </w:rPr>
        <w:t xml:space="preserve"> </w:t>
      </w:r>
      <w:r>
        <w:rPr>
          <w:rFonts w:hint="eastAsia"/>
          <w:sz w:val="21"/>
        </w:rPr>
        <w:t>江苏省六种主流工艺应用于污水处理厂规模情况</w:t>
      </w: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1276"/>
        <w:gridCol w:w="1417"/>
        <w:gridCol w:w="1418"/>
        <w:gridCol w:w="1417"/>
      </w:tblGrid>
      <w:tr w:rsidR="008E7D53">
        <w:trPr>
          <w:trHeight w:val="280"/>
          <w:jc w:val="center"/>
        </w:trPr>
        <w:tc>
          <w:tcPr>
            <w:tcW w:w="1129" w:type="dxa"/>
            <w:vMerge w:val="restart"/>
            <w:vAlign w:val="center"/>
          </w:tcPr>
          <w:p w:rsidR="008E7D53" w:rsidRDefault="0098666E">
            <w:pPr>
              <w:widowControl/>
              <w:spacing w:line="240" w:lineRule="auto"/>
              <w:ind w:firstLineChars="0" w:firstLine="0"/>
              <w:jc w:val="center"/>
              <w:textAlignment w:val="baseline"/>
              <w:rPr>
                <w:color w:val="000000"/>
                <w:kern w:val="0"/>
                <w:sz w:val="21"/>
                <w:szCs w:val="21"/>
              </w:rPr>
            </w:pPr>
            <w:r>
              <w:rPr>
                <w:color w:val="000000"/>
                <w:kern w:val="0"/>
                <w:sz w:val="21"/>
                <w:szCs w:val="21"/>
              </w:rPr>
              <w:t>工艺</w:t>
            </w:r>
          </w:p>
        </w:tc>
        <w:tc>
          <w:tcPr>
            <w:tcW w:w="6804" w:type="dxa"/>
            <w:gridSpan w:val="5"/>
            <w:shd w:val="clear" w:color="auto" w:fill="auto"/>
            <w:noWrap/>
            <w:vAlign w:val="center"/>
          </w:tcPr>
          <w:p w:rsidR="008E7D53" w:rsidRDefault="0098666E">
            <w:pPr>
              <w:widowControl/>
              <w:spacing w:line="240" w:lineRule="auto"/>
              <w:ind w:firstLineChars="0" w:firstLine="0"/>
              <w:jc w:val="center"/>
              <w:textAlignment w:val="baseline"/>
              <w:rPr>
                <w:color w:val="000000"/>
                <w:kern w:val="0"/>
                <w:sz w:val="21"/>
                <w:szCs w:val="21"/>
              </w:rPr>
            </w:pPr>
            <w:r>
              <w:rPr>
                <w:color w:val="000000"/>
                <w:kern w:val="0"/>
                <w:sz w:val="21"/>
                <w:szCs w:val="21"/>
              </w:rPr>
              <w:t>城镇污水处理厂设计日处理规模（万吨</w:t>
            </w:r>
            <w:r>
              <w:rPr>
                <w:color w:val="000000"/>
                <w:kern w:val="0"/>
                <w:sz w:val="21"/>
                <w:szCs w:val="21"/>
              </w:rPr>
              <w:t>/</w:t>
            </w:r>
            <w:r>
              <w:rPr>
                <w:color w:val="000000"/>
                <w:kern w:val="0"/>
                <w:sz w:val="21"/>
                <w:szCs w:val="21"/>
              </w:rPr>
              <w:t>天）</w:t>
            </w:r>
          </w:p>
        </w:tc>
      </w:tr>
      <w:tr w:rsidR="008E7D53">
        <w:trPr>
          <w:trHeight w:val="280"/>
          <w:jc w:val="center"/>
        </w:trPr>
        <w:tc>
          <w:tcPr>
            <w:tcW w:w="1129" w:type="dxa"/>
            <w:vMerge/>
            <w:vAlign w:val="center"/>
          </w:tcPr>
          <w:p w:rsidR="008E7D53" w:rsidRDefault="008E7D53">
            <w:pPr>
              <w:widowControl/>
              <w:spacing w:line="240" w:lineRule="auto"/>
              <w:ind w:firstLineChars="0" w:firstLine="0"/>
              <w:jc w:val="center"/>
              <w:textAlignment w:val="baseline"/>
              <w:rPr>
                <w:color w:val="000000"/>
                <w:kern w:val="0"/>
                <w:sz w:val="21"/>
                <w:szCs w:val="21"/>
              </w:rPr>
            </w:pP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color w:val="000000"/>
                <w:kern w:val="0"/>
                <w:sz w:val="21"/>
                <w:szCs w:val="21"/>
              </w:rPr>
            </w:pPr>
            <w:r>
              <w:rPr>
                <w:color w:val="000000"/>
                <w:kern w:val="0"/>
                <w:sz w:val="21"/>
                <w:szCs w:val="21"/>
              </w:rPr>
              <w:t>S≥20</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color w:val="000000"/>
                <w:kern w:val="0"/>
                <w:sz w:val="21"/>
                <w:szCs w:val="21"/>
              </w:rPr>
            </w:pPr>
            <w:r>
              <w:rPr>
                <w:color w:val="000000"/>
                <w:kern w:val="0"/>
                <w:sz w:val="21"/>
                <w:szCs w:val="21"/>
              </w:rPr>
              <w:t>10≤S</w:t>
            </w:r>
            <w:r>
              <w:rPr>
                <w:rFonts w:hint="eastAsia"/>
                <w:color w:val="000000"/>
                <w:kern w:val="0"/>
                <w:sz w:val="21"/>
                <w:szCs w:val="21"/>
              </w:rPr>
              <w:t>&lt;</w:t>
            </w:r>
            <w:r>
              <w:rPr>
                <w:color w:val="000000"/>
                <w:kern w:val="0"/>
                <w:sz w:val="21"/>
                <w:szCs w:val="21"/>
              </w:rPr>
              <w:t>20</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color w:val="000000"/>
                <w:kern w:val="0"/>
                <w:sz w:val="21"/>
                <w:szCs w:val="21"/>
              </w:rPr>
            </w:pPr>
            <w:r>
              <w:rPr>
                <w:color w:val="000000"/>
                <w:kern w:val="0"/>
                <w:sz w:val="21"/>
                <w:szCs w:val="21"/>
              </w:rPr>
              <w:t>5≤S</w:t>
            </w:r>
            <w:r>
              <w:rPr>
                <w:rFonts w:hint="eastAsia"/>
                <w:color w:val="000000"/>
                <w:kern w:val="0"/>
                <w:sz w:val="21"/>
                <w:szCs w:val="21"/>
              </w:rPr>
              <w:t>&lt;</w:t>
            </w:r>
            <w:r>
              <w:rPr>
                <w:color w:val="000000"/>
                <w:kern w:val="0"/>
                <w:sz w:val="21"/>
                <w:szCs w:val="21"/>
              </w:rPr>
              <w:t>10</w:t>
            </w:r>
          </w:p>
        </w:tc>
        <w:tc>
          <w:tcPr>
            <w:tcW w:w="1418" w:type="dxa"/>
            <w:shd w:val="clear" w:color="auto" w:fill="auto"/>
            <w:noWrap/>
            <w:vAlign w:val="center"/>
          </w:tcPr>
          <w:p w:rsidR="008E7D53" w:rsidRDefault="0098666E">
            <w:pPr>
              <w:widowControl/>
              <w:spacing w:line="240" w:lineRule="auto"/>
              <w:ind w:firstLineChars="0" w:firstLine="0"/>
              <w:jc w:val="center"/>
              <w:textAlignment w:val="baseline"/>
              <w:rPr>
                <w:color w:val="000000"/>
                <w:kern w:val="0"/>
                <w:sz w:val="21"/>
                <w:szCs w:val="21"/>
              </w:rPr>
            </w:pPr>
            <w:r>
              <w:rPr>
                <w:color w:val="000000"/>
                <w:kern w:val="0"/>
                <w:sz w:val="21"/>
                <w:szCs w:val="21"/>
              </w:rPr>
              <w:t>1≤S</w:t>
            </w:r>
            <w:r>
              <w:rPr>
                <w:rFonts w:hint="eastAsia"/>
                <w:color w:val="000000"/>
                <w:kern w:val="0"/>
                <w:sz w:val="21"/>
                <w:szCs w:val="21"/>
              </w:rPr>
              <w:t>&lt;</w:t>
            </w:r>
            <w:r>
              <w:rPr>
                <w:color w:val="000000"/>
                <w:kern w:val="0"/>
                <w:sz w:val="21"/>
                <w:szCs w:val="21"/>
              </w:rPr>
              <w:t>5</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color w:val="000000"/>
                <w:kern w:val="0"/>
                <w:sz w:val="21"/>
                <w:szCs w:val="21"/>
              </w:rPr>
            </w:pPr>
            <w:r>
              <w:rPr>
                <w:color w:val="000000"/>
                <w:kern w:val="0"/>
                <w:sz w:val="21"/>
                <w:szCs w:val="21"/>
              </w:rPr>
              <w:t>S</w:t>
            </w:r>
            <w:r>
              <w:rPr>
                <w:rFonts w:hint="eastAsia"/>
                <w:color w:val="000000"/>
                <w:kern w:val="0"/>
                <w:sz w:val="21"/>
                <w:szCs w:val="21"/>
              </w:rPr>
              <w:t>&lt;</w:t>
            </w:r>
            <w:r>
              <w:rPr>
                <w:color w:val="000000"/>
                <w:kern w:val="0"/>
                <w:sz w:val="21"/>
                <w:szCs w:val="21"/>
              </w:rPr>
              <w:t>1</w:t>
            </w:r>
          </w:p>
        </w:tc>
      </w:tr>
      <w:tr w:rsidR="008E7D53">
        <w:trPr>
          <w:trHeight w:val="280"/>
          <w:jc w:val="center"/>
        </w:trPr>
        <w:tc>
          <w:tcPr>
            <w:tcW w:w="1129" w:type="dxa"/>
            <w:vAlign w:val="center"/>
          </w:tcPr>
          <w:p w:rsidR="008E7D53" w:rsidRDefault="0098666E">
            <w:pPr>
              <w:widowControl/>
              <w:spacing w:line="240" w:lineRule="auto"/>
              <w:ind w:firstLineChars="0" w:firstLine="0"/>
              <w:jc w:val="center"/>
              <w:textAlignment w:val="baseline"/>
              <w:rPr>
                <w:color w:val="000000"/>
                <w:sz w:val="21"/>
                <w:szCs w:val="21"/>
              </w:rPr>
            </w:pPr>
            <w:r>
              <w:rPr>
                <w:color w:val="000000"/>
                <w:sz w:val="21"/>
                <w:szCs w:val="21"/>
              </w:rPr>
              <w:t>A</w:t>
            </w:r>
            <w:r>
              <w:rPr>
                <w:color w:val="000000"/>
                <w:sz w:val="21"/>
                <w:szCs w:val="21"/>
                <w:vertAlign w:val="superscript"/>
              </w:rPr>
              <w:t>2</w:t>
            </w:r>
            <w:r>
              <w:rPr>
                <w:color w:val="000000"/>
                <w:sz w:val="21"/>
                <w:szCs w:val="21"/>
              </w:rPr>
              <w:t>/O</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7</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20</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36</w:t>
            </w:r>
          </w:p>
        </w:tc>
        <w:tc>
          <w:tcPr>
            <w:tcW w:w="1418"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117</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305</w:t>
            </w:r>
          </w:p>
        </w:tc>
      </w:tr>
      <w:tr w:rsidR="008E7D53">
        <w:trPr>
          <w:trHeight w:val="280"/>
          <w:jc w:val="center"/>
        </w:trPr>
        <w:tc>
          <w:tcPr>
            <w:tcW w:w="1129" w:type="dxa"/>
            <w:vAlign w:val="center"/>
          </w:tcPr>
          <w:p w:rsidR="008E7D53" w:rsidRDefault="0098666E">
            <w:pPr>
              <w:widowControl/>
              <w:spacing w:line="240" w:lineRule="auto"/>
              <w:ind w:firstLineChars="0" w:firstLine="0"/>
              <w:jc w:val="center"/>
              <w:textAlignment w:val="baseline"/>
              <w:rPr>
                <w:color w:val="000000"/>
                <w:kern w:val="0"/>
                <w:sz w:val="21"/>
                <w:szCs w:val="21"/>
              </w:rPr>
            </w:pPr>
            <w:r>
              <w:rPr>
                <w:color w:val="000000"/>
                <w:sz w:val="21"/>
                <w:szCs w:val="21"/>
              </w:rPr>
              <w:t>氧化沟</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1</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1</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14</w:t>
            </w:r>
          </w:p>
        </w:tc>
        <w:tc>
          <w:tcPr>
            <w:tcW w:w="1418"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21</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14</w:t>
            </w:r>
          </w:p>
        </w:tc>
      </w:tr>
      <w:tr w:rsidR="008E7D53">
        <w:trPr>
          <w:trHeight w:val="280"/>
          <w:jc w:val="center"/>
        </w:trPr>
        <w:tc>
          <w:tcPr>
            <w:tcW w:w="1129" w:type="dxa"/>
            <w:vAlign w:val="center"/>
          </w:tcPr>
          <w:p w:rsidR="008E7D53" w:rsidRDefault="0098666E">
            <w:pPr>
              <w:widowControl/>
              <w:spacing w:line="240" w:lineRule="auto"/>
              <w:ind w:firstLineChars="0" w:firstLine="0"/>
              <w:jc w:val="center"/>
              <w:textAlignment w:val="baseline"/>
              <w:rPr>
                <w:color w:val="000000"/>
                <w:kern w:val="0"/>
                <w:sz w:val="21"/>
                <w:szCs w:val="21"/>
              </w:rPr>
            </w:pPr>
            <w:r>
              <w:rPr>
                <w:color w:val="000000"/>
                <w:sz w:val="21"/>
                <w:szCs w:val="21"/>
              </w:rPr>
              <w:t>SBR</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1</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1</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3</w:t>
            </w:r>
          </w:p>
        </w:tc>
        <w:tc>
          <w:tcPr>
            <w:tcW w:w="1418"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18</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7</w:t>
            </w:r>
          </w:p>
        </w:tc>
      </w:tr>
      <w:tr w:rsidR="008E7D53">
        <w:trPr>
          <w:trHeight w:val="280"/>
          <w:jc w:val="center"/>
        </w:trPr>
        <w:tc>
          <w:tcPr>
            <w:tcW w:w="1129" w:type="dxa"/>
            <w:vAlign w:val="center"/>
          </w:tcPr>
          <w:p w:rsidR="008E7D53" w:rsidRDefault="0098666E">
            <w:pPr>
              <w:widowControl/>
              <w:spacing w:line="240" w:lineRule="auto"/>
              <w:ind w:firstLineChars="0" w:firstLine="0"/>
              <w:jc w:val="center"/>
              <w:textAlignment w:val="baseline"/>
              <w:rPr>
                <w:color w:val="000000"/>
                <w:kern w:val="0"/>
                <w:sz w:val="21"/>
                <w:szCs w:val="21"/>
              </w:rPr>
            </w:pPr>
            <w:r>
              <w:rPr>
                <w:color w:val="000000"/>
                <w:sz w:val="21"/>
                <w:szCs w:val="21"/>
              </w:rPr>
              <w:t>MBR</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1</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3</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2</w:t>
            </w:r>
          </w:p>
        </w:tc>
        <w:tc>
          <w:tcPr>
            <w:tcW w:w="1418"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7</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kern w:val="0"/>
                <w:sz w:val="21"/>
                <w:szCs w:val="21"/>
              </w:rPr>
            </w:pPr>
            <w:r>
              <w:rPr>
                <w:sz w:val="21"/>
                <w:szCs w:val="21"/>
              </w:rPr>
              <w:t>12</w:t>
            </w:r>
          </w:p>
        </w:tc>
      </w:tr>
      <w:tr w:rsidR="008E7D53">
        <w:trPr>
          <w:trHeight w:val="280"/>
          <w:jc w:val="center"/>
        </w:trPr>
        <w:tc>
          <w:tcPr>
            <w:tcW w:w="1129" w:type="dxa"/>
            <w:vAlign w:val="center"/>
          </w:tcPr>
          <w:p w:rsidR="008E7D53" w:rsidRDefault="0098666E">
            <w:pPr>
              <w:widowControl/>
              <w:spacing w:line="240" w:lineRule="auto"/>
              <w:ind w:firstLineChars="0" w:firstLine="0"/>
              <w:jc w:val="center"/>
              <w:textAlignment w:val="baseline"/>
              <w:rPr>
                <w:color w:val="000000"/>
                <w:sz w:val="21"/>
                <w:szCs w:val="21"/>
              </w:rPr>
            </w:pPr>
            <w:r>
              <w:rPr>
                <w:color w:val="000000"/>
                <w:sz w:val="21"/>
                <w:szCs w:val="21"/>
              </w:rPr>
              <w:lastRenderedPageBreak/>
              <w:t>A/O</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sz w:val="21"/>
                <w:szCs w:val="21"/>
              </w:rPr>
            </w:pPr>
            <w:r>
              <w:rPr>
                <w:sz w:val="21"/>
                <w:szCs w:val="21"/>
              </w:rPr>
              <w:t>0</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sz w:val="21"/>
                <w:szCs w:val="21"/>
              </w:rPr>
            </w:pPr>
            <w:r>
              <w:rPr>
                <w:sz w:val="21"/>
                <w:szCs w:val="21"/>
              </w:rPr>
              <w:t>0</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sz w:val="21"/>
                <w:szCs w:val="21"/>
              </w:rPr>
            </w:pPr>
            <w:r>
              <w:rPr>
                <w:sz w:val="21"/>
                <w:szCs w:val="21"/>
              </w:rPr>
              <w:t>2</w:t>
            </w:r>
          </w:p>
        </w:tc>
        <w:tc>
          <w:tcPr>
            <w:tcW w:w="1418" w:type="dxa"/>
            <w:shd w:val="clear" w:color="auto" w:fill="auto"/>
            <w:noWrap/>
            <w:vAlign w:val="center"/>
          </w:tcPr>
          <w:p w:rsidR="008E7D53" w:rsidRDefault="0098666E">
            <w:pPr>
              <w:widowControl/>
              <w:spacing w:line="240" w:lineRule="auto"/>
              <w:ind w:firstLineChars="0" w:firstLine="0"/>
              <w:jc w:val="center"/>
              <w:textAlignment w:val="baseline"/>
              <w:rPr>
                <w:sz w:val="21"/>
                <w:szCs w:val="21"/>
              </w:rPr>
            </w:pPr>
            <w:r>
              <w:rPr>
                <w:sz w:val="21"/>
                <w:szCs w:val="21"/>
              </w:rPr>
              <w:t>18</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sz w:val="21"/>
                <w:szCs w:val="21"/>
              </w:rPr>
            </w:pPr>
            <w:r>
              <w:rPr>
                <w:sz w:val="21"/>
                <w:szCs w:val="21"/>
              </w:rPr>
              <w:t>66</w:t>
            </w:r>
          </w:p>
        </w:tc>
      </w:tr>
      <w:tr w:rsidR="008E7D53">
        <w:trPr>
          <w:trHeight w:val="280"/>
          <w:jc w:val="center"/>
        </w:trPr>
        <w:tc>
          <w:tcPr>
            <w:tcW w:w="1129" w:type="dxa"/>
            <w:vAlign w:val="center"/>
          </w:tcPr>
          <w:p w:rsidR="008E7D53" w:rsidRDefault="0098666E">
            <w:pPr>
              <w:widowControl/>
              <w:spacing w:line="240" w:lineRule="auto"/>
              <w:ind w:firstLineChars="0" w:firstLine="0"/>
              <w:jc w:val="center"/>
              <w:textAlignment w:val="baseline"/>
              <w:rPr>
                <w:color w:val="000000"/>
                <w:sz w:val="21"/>
                <w:szCs w:val="21"/>
              </w:rPr>
            </w:pPr>
            <w:r>
              <w:rPr>
                <w:sz w:val="21"/>
                <w:szCs w:val="21"/>
              </w:rPr>
              <w:t>生物转盘</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sz w:val="21"/>
                <w:szCs w:val="21"/>
              </w:rPr>
            </w:pPr>
            <w:r>
              <w:rPr>
                <w:sz w:val="21"/>
                <w:szCs w:val="21"/>
              </w:rPr>
              <w:t>0</w:t>
            </w:r>
          </w:p>
        </w:tc>
        <w:tc>
          <w:tcPr>
            <w:tcW w:w="1276" w:type="dxa"/>
            <w:shd w:val="clear" w:color="auto" w:fill="auto"/>
            <w:noWrap/>
            <w:vAlign w:val="center"/>
          </w:tcPr>
          <w:p w:rsidR="008E7D53" w:rsidRDefault="0098666E">
            <w:pPr>
              <w:widowControl/>
              <w:spacing w:line="240" w:lineRule="auto"/>
              <w:ind w:firstLineChars="0" w:firstLine="0"/>
              <w:jc w:val="center"/>
              <w:textAlignment w:val="baseline"/>
              <w:rPr>
                <w:sz w:val="21"/>
                <w:szCs w:val="21"/>
              </w:rPr>
            </w:pPr>
            <w:r>
              <w:rPr>
                <w:sz w:val="21"/>
                <w:szCs w:val="21"/>
              </w:rPr>
              <w:t>0</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sz w:val="21"/>
                <w:szCs w:val="21"/>
              </w:rPr>
            </w:pPr>
            <w:r>
              <w:rPr>
                <w:sz w:val="21"/>
                <w:szCs w:val="21"/>
              </w:rPr>
              <w:t>0</w:t>
            </w:r>
          </w:p>
        </w:tc>
        <w:tc>
          <w:tcPr>
            <w:tcW w:w="1418" w:type="dxa"/>
            <w:shd w:val="clear" w:color="auto" w:fill="auto"/>
            <w:noWrap/>
            <w:vAlign w:val="center"/>
          </w:tcPr>
          <w:p w:rsidR="008E7D53" w:rsidRDefault="0098666E">
            <w:pPr>
              <w:widowControl/>
              <w:spacing w:line="240" w:lineRule="auto"/>
              <w:ind w:firstLineChars="0" w:firstLine="0"/>
              <w:jc w:val="center"/>
              <w:textAlignment w:val="baseline"/>
              <w:rPr>
                <w:sz w:val="21"/>
                <w:szCs w:val="21"/>
              </w:rPr>
            </w:pPr>
            <w:r>
              <w:rPr>
                <w:sz w:val="21"/>
                <w:szCs w:val="21"/>
              </w:rPr>
              <w:t>1</w:t>
            </w:r>
          </w:p>
        </w:tc>
        <w:tc>
          <w:tcPr>
            <w:tcW w:w="1417" w:type="dxa"/>
            <w:shd w:val="clear" w:color="auto" w:fill="auto"/>
            <w:noWrap/>
            <w:vAlign w:val="center"/>
          </w:tcPr>
          <w:p w:rsidR="008E7D53" w:rsidRDefault="0098666E">
            <w:pPr>
              <w:widowControl/>
              <w:spacing w:line="240" w:lineRule="auto"/>
              <w:ind w:firstLineChars="0" w:firstLine="0"/>
              <w:jc w:val="center"/>
              <w:textAlignment w:val="baseline"/>
              <w:rPr>
                <w:sz w:val="21"/>
                <w:szCs w:val="21"/>
              </w:rPr>
            </w:pPr>
            <w:r>
              <w:rPr>
                <w:sz w:val="21"/>
                <w:szCs w:val="21"/>
              </w:rPr>
              <w:t>41</w:t>
            </w:r>
          </w:p>
        </w:tc>
      </w:tr>
    </w:tbl>
    <w:p w:rsidR="008E7D53" w:rsidRDefault="0098666E">
      <w:pPr>
        <w:ind w:firstLine="480"/>
        <w:textAlignment w:val="baseline"/>
      </w:pPr>
      <w:r>
        <w:rPr>
          <w:rFonts w:hint="eastAsia"/>
        </w:rPr>
        <w:t>由表</w:t>
      </w:r>
      <w:r>
        <w:t>4</w:t>
      </w:r>
      <w:r>
        <w:rPr>
          <w:rFonts w:hint="eastAsia"/>
        </w:rPr>
        <w:t>-</w:t>
      </w:r>
      <w:r>
        <w:t>3</w:t>
      </w:r>
      <w:r>
        <w:rPr>
          <w:rFonts w:hint="eastAsia"/>
        </w:rPr>
        <w:t>可知，</w:t>
      </w:r>
      <w:r>
        <w:rPr>
          <w:rFonts w:hint="eastAsia"/>
        </w:rPr>
        <w:t>A</w:t>
      </w:r>
      <w:r>
        <w:rPr>
          <w:vertAlign w:val="superscript"/>
        </w:rPr>
        <w:t>2</w:t>
      </w:r>
      <w:r>
        <w:t>/O</w:t>
      </w:r>
      <w:r>
        <w:rPr>
          <w:rFonts w:hint="eastAsia"/>
        </w:rPr>
        <w:t>工艺广泛应用于各污水处理厂规模类型；氧化沟、</w:t>
      </w:r>
      <w:r>
        <w:rPr>
          <w:rFonts w:hint="eastAsia"/>
        </w:rPr>
        <w:t>S</w:t>
      </w:r>
      <w:r>
        <w:t>BR</w:t>
      </w:r>
      <w:r>
        <w:rPr>
          <w:rFonts w:hint="eastAsia"/>
        </w:rPr>
        <w:t>和</w:t>
      </w:r>
      <w:r>
        <w:rPr>
          <w:rFonts w:hint="eastAsia"/>
        </w:rPr>
        <w:t>M</w:t>
      </w:r>
      <w:r>
        <w:t>BR</w:t>
      </w:r>
      <w:r>
        <w:rPr>
          <w:rFonts w:hint="eastAsia"/>
        </w:rPr>
        <w:t>在各类污水处理厂规模中也都有应用，但主要应用于设计处理规模</w:t>
      </w:r>
      <w:r>
        <w:rPr>
          <w:rFonts w:hint="eastAsia"/>
        </w:rPr>
        <w:t>1</w:t>
      </w:r>
      <w:r>
        <w:t>0</w:t>
      </w:r>
      <w:r>
        <w:rPr>
          <w:rFonts w:hint="eastAsia"/>
        </w:rPr>
        <w:t>万吨</w:t>
      </w:r>
      <w:r>
        <w:rPr>
          <w:rFonts w:hint="eastAsia"/>
        </w:rPr>
        <w:t>/</w:t>
      </w:r>
      <w:r>
        <w:rPr>
          <w:rFonts w:hint="eastAsia"/>
        </w:rPr>
        <w:t>日以下的污水处理厂；</w:t>
      </w:r>
      <w:r>
        <w:t>A</w:t>
      </w:r>
      <w:r>
        <w:rPr>
          <w:rFonts w:hint="eastAsia"/>
        </w:rPr>
        <w:t>/</w:t>
      </w:r>
      <w:r>
        <w:t>O</w:t>
      </w:r>
      <w:r>
        <w:rPr>
          <w:rFonts w:hint="eastAsia"/>
        </w:rPr>
        <w:t>工艺主要应用于设计处理规模</w:t>
      </w:r>
      <w:r>
        <w:t>5</w:t>
      </w:r>
      <w:r>
        <w:rPr>
          <w:rFonts w:hint="eastAsia"/>
        </w:rPr>
        <w:t>万吨</w:t>
      </w:r>
      <w:r>
        <w:rPr>
          <w:rFonts w:hint="eastAsia"/>
        </w:rPr>
        <w:t>/</w:t>
      </w:r>
      <w:r>
        <w:rPr>
          <w:rFonts w:hint="eastAsia"/>
        </w:rPr>
        <w:t>日以下的污水处理厂；生物转盘工艺主要应用于设计处理规模</w:t>
      </w:r>
      <w:r>
        <w:rPr>
          <w:rFonts w:hint="eastAsia"/>
        </w:rPr>
        <w:t>1</w:t>
      </w:r>
      <w:r>
        <w:rPr>
          <w:rFonts w:hint="eastAsia"/>
        </w:rPr>
        <w:t>万吨</w:t>
      </w:r>
      <w:r>
        <w:rPr>
          <w:rFonts w:hint="eastAsia"/>
        </w:rPr>
        <w:t>/</w:t>
      </w:r>
      <w:r>
        <w:rPr>
          <w:rFonts w:hint="eastAsia"/>
        </w:rPr>
        <w:t>日以下的污水处理厂。</w:t>
      </w:r>
    </w:p>
    <w:p w:rsidR="008E7D53" w:rsidRDefault="0098666E">
      <w:pPr>
        <w:ind w:firstLine="480"/>
        <w:textAlignment w:val="baseline"/>
        <w:rPr>
          <w:bCs/>
          <w:sz w:val="20"/>
        </w:rPr>
      </w:pPr>
      <w:bookmarkStart w:id="36" w:name="_Toc85133705"/>
      <w:bookmarkStart w:id="37" w:name="_Hlk85110017"/>
      <w:bookmarkStart w:id="38" w:name="_Toc85117690"/>
      <w:r>
        <w:rPr>
          <w:bCs/>
        </w:rPr>
        <w:t>根据对江苏省城镇污水处理厂处理规模和工艺的分析，综合数量和总处理规模考虑，本文件能耗评价的工艺选择</w:t>
      </w:r>
      <w:r>
        <w:rPr>
          <w:bCs/>
        </w:rPr>
        <w:t>A</w:t>
      </w:r>
      <w:r>
        <w:rPr>
          <w:bCs/>
          <w:vertAlign w:val="superscript"/>
        </w:rPr>
        <w:t>2</w:t>
      </w:r>
      <w:r>
        <w:rPr>
          <w:bCs/>
        </w:rPr>
        <w:t>/O</w:t>
      </w:r>
      <w:r>
        <w:rPr>
          <w:bCs/>
        </w:rPr>
        <w:t>及其变形、氧化沟及其变形、</w:t>
      </w:r>
      <w:r>
        <w:rPr>
          <w:bCs/>
        </w:rPr>
        <w:t>A/O</w:t>
      </w:r>
      <w:r>
        <w:rPr>
          <w:bCs/>
        </w:rPr>
        <w:t>及其变形、</w:t>
      </w:r>
      <w:r>
        <w:rPr>
          <w:bCs/>
        </w:rPr>
        <w:t>SBR</w:t>
      </w:r>
      <w:r>
        <w:rPr>
          <w:bCs/>
        </w:rPr>
        <w:t>及其变形、生物膜法和</w:t>
      </w:r>
      <w:r>
        <w:rPr>
          <w:bCs/>
        </w:rPr>
        <w:t>MBR</w:t>
      </w:r>
      <w:r>
        <w:rPr>
          <w:bCs/>
        </w:rPr>
        <w:t>。根据每种工艺主要涉及的主要规模类型（表</w:t>
      </w:r>
      <w:r>
        <w:rPr>
          <w:bCs/>
        </w:rPr>
        <w:t>4-3</w:t>
      </w:r>
      <w:r>
        <w:rPr>
          <w:bCs/>
        </w:rPr>
        <w:t>），</w:t>
      </w:r>
      <w:r>
        <w:rPr>
          <w:bCs/>
        </w:rPr>
        <w:t>A</w:t>
      </w:r>
      <w:r>
        <w:rPr>
          <w:bCs/>
          <w:vertAlign w:val="superscript"/>
        </w:rPr>
        <w:t>2</w:t>
      </w:r>
      <w:r>
        <w:rPr>
          <w:bCs/>
        </w:rPr>
        <w:t>/O</w:t>
      </w:r>
      <w:r>
        <w:rPr>
          <w:bCs/>
        </w:rPr>
        <w:t>及其变形选择</w:t>
      </w:r>
      <w:r>
        <w:rPr>
          <w:bCs/>
        </w:rPr>
        <w:t>S≥20</w:t>
      </w:r>
      <w:r>
        <w:rPr>
          <w:bCs/>
        </w:rPr>
        <w:t>万吨</w:t>
      </w:r>
      <w:r>
        <w:rPr>
          <w:bCs/>
        </w:rPr>
        <w:t>/</w:t>
      </w:r>
      <w:r>
        <w:rPr>
          <w:bCs/>
        </w:rPr>
        <w:t>日、</w:t>
      </w:r>
      <w:r>
        <w:rPr>
          <w:bCs/>
        </w:rPr>
        <w:t>10≤S&lt;20</w:t>
      </w:r>
      <w:r>
        <w:rPr>
          <w:bCs/>
        </w:rPr>
        <w:t>万吨</w:t>
      </w:r>
      <w:r>
        <w:rPr>
          <w:bCs/>
        </w:rPr>
        <w:t>/</w:t>
      </w:r>
      <w:r>
        <w:rPr>
          <w:bCs/>
        </w:rPr>
        <w:t>日、</w:t>
      </w:r>
      <w:r>
        <w:rPr>
          <w:bCs/>
        </w:rPr>
        <w:t>5≤S&lt;10</w:t>
      </w:r>
      <w:r>
        <w:rPr>
          <w:bCs/>
        </w:rPr>
        <w:t>万吨</w:t>
      </w:r>
      <w:r>
        <w:rPr>
          <w:bCs/>
        </w:rPr>
        <w:t>/</w:t>
      </w:r>
      <w:r>
        <w:rPr>
          <w:bCs/>
        </w:rPr>
        <w:t>日、</w:t>
      </w:r>
      <w:r>
        <w:rPr>
          <w:bCs/>
        </w:rPr>
        <w:t>1≤S&lt;5</w:t>
      </w:r>
      <w:r>
        <w:rPr>
          <w:bCs/>
        </w:rPr>
        <w:t>万吨</w:t>
      </w:r>
      <w:r>
        <w:rPr>
          <w:bCs/>
        </w:rPr>
        <w:t>/</w:t>
      </w:r>
      <w:r>
        <w:rPr>
          <w:bCs/>
        </w:rPr>
        <w:t>日和</w:t>
      </w:r>
      <w:r>
        <w:rPr>
          <w:bCs/>
        </w:rPr>
        <w:t>S&lt;1</w:t>
      </w:r>
      <w:r>
        <w:rPr>
          <w:bCs/>
        </w:rPr>
        <w:t>万吨</w:t>
      </w:r>
      <w:r>
        <w:rPr>
          <w:bCs/>
        </w:rPr>
        <w:t>/</w:t>
      </w:r>
      <w:r>
        <w:rPr>
          <w:bCs/>
        </w:rPr>
        <w:t>日五种规模类型；氧化沟及其变形工艺选择</w:t>
      </w:r>
      <w:r>
        <w:rPr>
          <w:bCs/>
        </w:rPr>
        <w:t>5≤S&lt;10</w:t>
      </w:r>
      <w:r>
        <w:rPr>
          <w:bCs/>
        </w:rPr>
        <w:t>万吨</w:t>
      </w:r>
      <w:r>
        <w:rPr>
          <w:bCs/>
        </w:rPr>
        <w:t>/</w:t>
      </w:r>
      <w:r>
        <w:rPr>
          <w:bCs/>
        </w:rPr>
        <w:t>日、</w:t>
      </w:r>
      <w:r>
        <w:rPr>
          <w:bCs/>
        </w:rPr>
        <w:t>1≤S&lt;5</w:t>
      </w:r>
      <w:r>
        <w:rPr>
          <w:bCs/>
        </w:rPr>
        <w:t>万吨</w:t>
      </w:r>
      <w:r>
        <w:rPr>
          <w:bCs/>
        </w:rPr>
        <w:t>/</w:t>
      </w:r>
      <w:r>
        <w:rPr>
          <w:bCs/>
        </w:rPr>
        <w:t>日和</w:t>
      </w:r>
      <w:r>
        <w:rPr>
          <w:bCs/>
        </w:rPr>
        <w:t>S&lt;1</w:t>
      </w:r>
      <w:r>
        <w:rPr>
          <w:bCs/>
        </w:rPr>
        <w:t>万吨</w:t>
      </w:r>
      <w:r>
        <w:rPr>
          <w:bCs/>
        </w:rPr>
        <w:t>/</w:t>
      </w:r>
      <w:r>
        <w:rPr>
          <w:bCs/>
        </w:rPr>
        <w:t>日三种规模类型；</w:t>
      </w:r>
      <w:r>
        <w:rPr>
          <w:bCs/>
        </w:rPr>
        <w:t>A/O</w:t>
      </w:r>
      <w:r>
        <w:rPr>
          <w:bCs/>
        </w:rPr>
        <w:t>及其变形选择</w:t>
      </w:r>
      <w:r>
        <w:rPr>
          <w:bCs/>
        </w:rPr>
        <w:t>1≤S&lt;5</w:t>
      </w:r>
      <w:r>
        <w:rPr>
          <w:bCs/>
        </w:rPr>
        <w:t>万吨</w:t>
      </w:r>
      <w:r>
        <w:rPr>
          <w:bCs/>
        </w:rPr>
        <w:t>/</w:t>
      </w:r>
      <w:r>
        <w:rPr>
          <w:bCs/>
        </w:rPr>
        <w:t>日和</w:t>
      </w:r>
      <w:r>
        <w:rPr>
          <w:bCs/>
        </w:rPr>
        <w:t>S&lt;1</w:t>
      </w:r>
      <w:r>
        <w:rPr>
          <w:bCs/>
        </w:rPr>
        <w:t>万吨</w:t>
      </w:r>
      <w:r>
        <w:rPr>
          <w:bCs/>
        </w:rPr>
        <w:t>/</w:t>
      </w:r>
      <w:r>
        <w:rPr>
          <w:bCs/>
        </w:rPr>
        <w:t>日两种规模类型；</w:t>
      </w:r>
      <w:r>
        <w:rPr>
          <w:bCs/>
        </w:rPr>
        <w:t>SBR</w:t>
      </w:r>
      <w:r>
        <w:rPr>
          <w:bCs/>
        </w:rPr>
        <w:t>及其变形选择</w:t>
      </w:r>
      <w:r>
        <w:rPr>
          <w:bCs/>
        </w:rPr>
        <w:t>1≤S&lt;5</w:t>
      </w:r>
      <w:r>
        <w:rPr>
          <w:bCs/>
        </w:rPr>
        <w:t>万吨</w:t>
      </w:r>
      <w:r>
        <w:rPr>
          <w:bCs/>
        </w:rPr>
        <w:t>/</w:t>
      </w:r>
      <w:r>
        <w:rPr>
          <w:bCs/>
        </w:rPr>
        <w:t>日和</w:t>
      </w:r>
      <w:r>
        <w:rPr>
          <w:bCs/>
        </w:rPr>
        <w:t>S&lt;1</w:t>
      </w:r>
      <w:r>
        <w:rPr>
          <w:bCs/>
        </w:rPr>
        <w:t>万吨</w:t>
      </w:r>
      <w:r>
        <w:rPr>
          <w:bCs/>
        </w:rPr>
        <w:t>/</w:t>
      </w:r>
      <w:r>
        <w:rPr>
          <w:bCs/>
        </w:rPr>
        <w:t>日三种规模类型；生物膜法选择</w:t>
      </w:r>
      <w:r>
        <w:rPr>
          <w:bCs/>
        </w:rPr>
        <w:t>S&lt;1</w:t>
      </w:r>
      <w:r>
        <w:rPr>
          <w:bCs/>
        </w:rPr>
        <w:t>万吨</w:t>
      </w:r>
      <w:r>
        <w:rPr>
          <w:bCs/>
        </w:rPr>
        <w:t>/</w:t>
      </w:r>
      <w:r>
        <w:rPr>
          <w:bCs/>
        </w:rPr>
        <w:t>日一</w:t>
      </w:r>
      <w:r>
        <w:rPr>
          <w:bCs/>
        </w:rPr>
        <w:t>种规模类型。同时，根据统计，</w:t>
      </w:r>
      <w:r>
        <w:rPr>
          <w:bCs/>
        </w:rPr>
        <w:t>MBR</w:t>
      </w:r>
      <w:r>
        <w:rPr>
          <w:bCs/>
        </w:rPr>
        <w:t>工艺多与</w:t>
      </w:r>
      <w:r>
        <w:rPr>
          <w:bCs/>
        </w:rPr>
        <w:t>A</w:t>
      </w:r>
      <w:r>
        <w:rPr>
          <w:bCs/>
          <w:vertAlign w:val="superscript"/>
        </w:rPr>
        <w:t>2</w:t>
      </w:r>
      <w:r>
        <w:rPr>
          <w:bCs/>
        </w:rPr>
        <w:t>/O</w:t>
      </w:r>
      <w:r>
        <w:rPr>
          <w:bCs/>
        </w:rPr>
        <w:t>、</w:t>
      </w:r>
      <w:r>
        <w:rPr>
          <w:bCs/>
        </w:rPr>
        <w:t>SBR</w:t>
      </w:r>
      <w:r>
        <w:rPr>
          <w:bCs/>
        </w:rPr>
        <w:t>等工艺连用，因此对于</w:t>
      </w:r>
      <w:r>
        <w:rPr>
          <w:bCs/>
        </w:rPr>
        <w:t>MBR</w:t>
      </w:r>
      <w:r>
        <w:rPr>
          <w:bCs/>
        </w:rPr>
        <w:t>工艺，本文件不单独划分规模类型，而是根据能耗数据统计结果，规定采用</w:t>
      </w:r>
      <w:r>
        <w:rPr>
          <w:bCs/>
        </w:rPr>
        <w:t>MBR</w:t>
      </w:r>
      <w:r>
        <w:rPr>
          <w:bCs/>
        </w:rPr>
        <w:t>工艺的城镇污水处理厂的能耗限额在其他五种工艺的基础上上浮一定的比例。</w:t>
      </w:r>
      <w:bookmarkEnd w:id="36"/>
      <w:bookmarkEnd w:id="37"/>
      <w:bookmarkEnd w:id="38"/>
      <w:r>
        <w:t>综上所述，本文件工艺选择和对应规模选择如表</w:t>
      </w:r>
      <w:r>
        <w:t>4-2</w:t>
      </w:r>
      <w:r>
        <w:t>所示。</w:t>
      </w:r>
    </w:p>
    <w:p w:rsidR="008E7D53" w:rsidRDefault="0098666E">
      <w:pPr>
        <w:ind w:firstLineChars="0" w:firstLine="0"/>
        <w:textAlignment w:val="baseline"/>
        <w:rPr>
          <w:bCs/>
          <w:sz w:val="20"/>
        </w:rPr>
      </w:pPr>
      <w:r>
        <w:rPr>
          <w:b/>
        </w:rPr>
        <w:t xml:space="preserve">4.7.3 </w:t>
      </w:r>
      <w:r>
        <w:rPr>
          <w:rFonts w:hint="eastAsia"/>
          <w:b/>
        </w:rPr>
        <w:t>能耗限额的确定</w:t>
      </w:r>
    </w:p>
    <w:p w:rsidR="008E7D53" w:rsidRDefault="0098666E">
      <w:pPr>
        <w:ind w:firstLine="480"/>
        <w:textAlignment w:val="baseline"/>
        <w:rPr>
          <w:sz w:val="20"/>
        </w:rPr>
      </w:pPr>
      <w:r>
        <w:rPr>
          <w:rFonts w:hint="eastAsia"/>
          <w:bCs/>
        </w:rPr>
        <w:t>根据调研获得数据，对明显异常值进行剔除后，按照工艺和规模计算污水处理厂的每千克总污染物去除电耗。文献资料《中国城镇污水处理厂能耗统计与基</w:t>
      </w:r>
      <w:r>
        <w:rPr>
          <w:rFonts w:hint="eastAsia"/>
        </w:rPr>
        <w:t>准分析》基于《城镇排水统计年鉴》（</w:t>
      </w:r>
      <w:r>
        <w:rPr>
          <w:rFonts w:hint="eastAsia"/>
        </w:rPr>
        <w:t>2016</w:t>
      </w:r>
      <w:r>
        <w:rPr>
          <w:rFonts w:hint="eastAsia"/>
        </w:rPr>
        <w:t>）数据，针对全国范围内</w:t>
      </w:r>
      <w:r>
        <w:rPr>
          <w:rFonts w:hint="eastAsia"/>
        </w:rPr>
        <w:t>12</w:t>
      </w:r>
      <w:r>
        <w:rPr>
          <w:rFonts w:hint="eastAsia"/>
        </w:rPr>
        <w:t>91</w:t>
      </w:r>
      <w:r>
        <w:rPr>
          <w:rFonts w:hint="eastAsia"/>
        </w:rPr>
        <w:t>座城镇污水处理厂的单位能耗，使用归一化方法进行统计分析，以单位能耗统计数据的前</w:t>
      </w:r>
      <w:r>
        <w:rPr>
          <w:rFonts w:hint="eastAsia"/>
        </w:rPr>
        <w:t>90%</w:t>
      </w:r>
      <w:r>
        <w:rPr>
          <w:rFonts w:hint="eastAsia"/>
        </w:rPr>
        <w:t>作为污水处理厂单位能耗基准参考的极大值，即最差情况；前</w:t>
      </w:r>
      <w:r>
        <w:rPr>
          <w:rFonts w:hint="eastAsia"/>
        </w:rPr>
        <w:t>25%</w:t>
      </w:r>
      <w:r>
        <w:rPr>
          <w:rFonts w:hint="eastAsia"/>
        </w:rPr>
        <w:t>则认为在节能降耗方面表现较优秀；前</w:t>
      </w:r>
      <w:r>
        <w:rPr>
          <w:rFonts w:hint="eastAsia"/>
        </w:rPr>
        <w:t>10%</w:t>
      </w:r>
      <w:r>
        <w:rPr>
          <w:rFonts w:hint="eastAsia"/>
        </w:rPr>
        <w:t>则认为已经在同等污水处理厂中处于极佳状态。</w:t>
      </w:r>
    </w:p>
    <w:p w:rsidR="008E7D53" w:rsidRDefault="0098666E">
      <w:pPr>
        <w:ind w:firstLine="480"/>
        <w:textAlignment w:val="baseline"/>
        <w:rPr>
          <w:bCs/>
        </w:rPr>
      </w:pPr>
      <w:r>
        <w:rPr>
          <w:rFonts w:hint="eastAsia"/>
          <w:bCs/>
        </w:rPr>
        <w:t>北京市地方标准《城镇污水处理能源消耗限额》（</w:t>
      </w:r>
      <w:r>
        <w:rPr>
          <w:rFonts w:hint="eastAsia"/>
          <w:bCs/>
        </w:rPr>
        <w:t>DB11/T 1118-2014</w:t>
      </w:r>
      <w:r>
        <w:rPr>
          <w:rFonts w:hint="eastAsia"/>
          <w:bCs/>
        </w:rPr>
        <w:t>）中以调研样本中的最大值作为能耗限定值，最小值作为能耗先进值。考虑到能耗最大值和最小值存在偶然性，本文件以单位能耗统计数据百分位数作为能耗限额的取值</w:t>
      </w:r>
      <w:r>
        <w:rPr>
          <w:rFonts w:hint="eastAsia"/>
          <w:bCs/>
        </w:rPr>
        <w:lastRenderedPageBreak/>
        <w:t>依据。</w:t>
      </w:r>
    </w:p>
    <w:p w:rsidR="008E7D53" w:rsidRDefault="0098666E">
      <w:pPr>
        <w:ind w:firstLine="480"/>
        <w:textAlignment w:val="baseline"/>
        <w:rPr>
          <w:bCs/>
        </w:rPr>
      </w:pPr>
      <w:r>
        <w:rPr>
          <w:rFonts w:hint="eastAsia"/>
          <w:bCs/>
        </w:rPr>
        <w:t>以同一类污水处理厂能耗数据的</w:t>
      </w:r>
      <w:r>
        <w:rPr>
          <w:rFonts w:hint="eastAsia"/>
          <w:bCs/>
        </w:rPr>
        <w:t>8</w:t>
      </w:r>
      <w:r>
        <w:rPr>
          <w:bCs/>
        </w:rPr>
        <w:t>0</w:t>
      </w:r>
      <w:r>
        <w:rPr>
          <w:rFonts w:hint="eastAsia"/>
          <w:bCs/>
        </w:rPr>
        <w:t>%</w:t>
      </w:r>
      <w:r>
        <w:rPr>
          <w:rFonts w:hint="eastAsia"/>
          <w:bCs/>
        </w:rPr>
        <w:t>分位数（即，调</w:t>
      </w:r>
      <w:r>
        <w:rPr>
          <w:rFonts w:hint="eastAsia"/>
          <w:bCs/>
        </w:rPr>
        <w:t>研样本中</w:t>
      </w:r>
      <w:r>
        <w:rPr>
          <w:rFonts w:hint="eastAsia"/>
          <w:bCs/>
        </w:rPr>
        <w:t>8</w:t>
      </w:r>
      <w:r>
        <w:rPr>
          <w:bCs/>
        </w:rPr>
        <w:t>0</w:t>
      </w:r>
      <w:r>
        <w:rPr>
          <w:rFonts w:hint="eastAsia"/>
          <w:bCs/>
        </w:rPr>
        <w:t>%</w:t>
      </w:r>
      <w:r>
        <w:rPr>
          <w:rFonts w:hint="eastAsia"/>
          <w:bCs/>
        </w:rPr>
        <w:t>的污水厂的能耗值都小于或等于该数值）作为能耗限定值。一方面，江苏省城镇污水处理厂数量较多，根据</w:t>
      </w:r>
      <w:r>
        <w:rPr>
          <w:rFonts w:hint="eastAsia"/>
          <w:bCs/>
        </w:rPr>
        <w:t>2</w:t>
      </w:r>
      <w:r>
        <w:rPr>
          <w:bCs/>
        </w:rPr>
        <w:t>019</w:t>
      </w:r>
      <w:r>
        <w:rPr>
          <w:rFonts w:hint="eastAsia"/>
          <w:bCs/>
        </w:rPr>
        <w:t>年统计数据，江苏省城镇污水处理厂的数量居全国第二。因此，能耗限定值的确定考虑大部分城镇污水处理厂都可达到。另一方面，根据统计结果，各类工艺下污水处理厂的每千克总污染物去除电耗的</w:t>
      </w:r>
      <w:r>
        <w:rPr>
          <w:rFonts w:hint="eastAsia"/>
          <w:bCs/>
        </w:rPr>
        <w:t>80%</w:t>
      </w:r>
      <w:r>
        <w:rPr>
          <w:rFonts w:hint="eastAsia"/>
          <w:bCs/>
        </w:rPr>
        <w:t>分位数存在随着规模越小能耗越高的规律。再者，</w:t>
      </w:r>
      <w:r>
        <w:rPr>
          <w:rFonts w:hint="eastAsia"/>
          <w:bCs/>
        </w:rPr>
        <w:t>通过</w:t>
      </w:r>
      <w:r>
        <w:rPr>
          <w:rFonts w:hint="eastAsia"/>
          <w:bCs/>
        </w:rPr>
        <w:t>将调研数据得到的吨水电耗的</w:t>
      </w:r>
      <w:r>
        <w:rPr>
          <w:rFonts w:hint="eastAsia"/>
          <w:bCs/>
        </w:rPr>
        <w:t>8</w:t>
      </w:r>
      <w:r>
        <w:rPr>
          <w:bCs/>
        </w:rPr>
        <w:t>0</w:t>
      </w:r>
      <w:r>
        <w:rPr>
          <w:rFonts w:hint="eastAsia"/>
          <w:bCs/>
        </w:rPr>
        <w:t>%</w:t>
      </w:r>
      <w:r>
        <w:rPr>
          <w:rFonts w:hint="eastAsia"/>
          <w:bCs/>
        </w:rPr>
        <w:t>分位数与《</w:t>
      </w:r>
      <w:r>
        <w:rPr>
          <w:bCs/>
        </w:rPr>
        <w:t>江苏省城镇污水处理厂运行管理考核标准</w:t>
      </w:r>
      <w:r>
        <w:rPr>
          <w:rFonts w:hint="eastAsia"/>
          <w:bCs/>
        </w:rPr>
        <w:t>》（</w:t>
      </w:r>
      <w:r>
        <w:rPr>
          <w:rFonts w:hint="eastAsia"/>
          <w:bCs/>
        </w:rPr>
        <w:t>2</w:t>
      </w:r>
      <w:r>
        <w:rPr>
          <w:bCs/>
        </w:rPr>
        <w:t>020</w:t>
      </w:r>
      <w:r>
        <w:rPr>
          <w:rFonts w:hint="eastAsia"/>
          <w:bCs/>
        </w:rPr>
        <w:t>版）规定的吨水电耗值进行对比发现，调研统计的能耗数据的</w:t>
      </w:r>
      <w:r>
        <w:rPr>
          <w:rFonts w:hint="eastAsia"/>
          <w:bCs/>
        </w:rPr>
        <w:t>80%</w:t>
      </w:r>
      <w:r>
        <w:rPr>
          <w:rFonts w:hint="eastAsia"/>
          <w:bCs/>
        </w:rPr>
        <w:t>分位数总体上可与其对应。因此，本文件以每一类能耗统计样本数据的</w:t>
      </w:r>
      <w:r>
        <w:rPr>
          <w:rFonts w:hint="eastAsia"/>
          <w:bCs/>
        </w:rPr>
        <w:t>8</w:t>
      </w:r>
      <w:r>
        <w:rPr>
          <w:bCs/>
        </w:rPr>
        <w:t>0</w:t>
      </w:r>
      <w:r>
        <w:rPr>
          <w:rFonts w:hint="eastAsia"/>
          <w:bCs/>
        </w:rPr>
        <w:t>%</w:t>
      </w:r>
      <w:r>
        <w:rPr>
          <w:rFonts w:hint="eastAsia"/>
          <w:bCs/>
        </w:rPr>
        <w:t>分位数作为能耗限定值。</w:t>
      </w:r>
    </w:p>
    <w:p w:rsidR="008E7D53" w:rsidRDefault="0098666E">
      <w:pPr>
        <w:ind w:firstLine="480"/>
        <w:textAlignment w:val="baseline"/>
        <w:rPr>
          <w:bCs/>
        </w:rPr>
      </w:pPr>
      <w:r>
        <w:rPr>
          <w:rFonts w:hint="eastAsia"/>
          <w:bCs/>
        </w:rPr>
        <w:t>为鼓励企业节能降耗，以及考虑长远发展，本文件以每一类统计样本数据的</w:t>
      </w:r>
      <w:r>
        <w:rPr>
          <w:bCs/>
        </w:rPr>
        <w:t>2</w:t>
      </w:r>
      <w:r>
        <w:rPr>
          <w:rFonts w:hint="eastAsia"/>
          <w:bCs/>
        </w:rPr>
        <w:t>0%</w:t>
      </w:r>
      <w:r>
        <w:rPr>
          <w:rFonts w:hint="eastAsia"/>
          <w:bCs/>
        </w:rPr>
        <w:t>分位数（即，调研样本中</w:t>
      </w:r>
      <w:r>
        <w:rPr>
          <w:rFonts w:hint="eastAsia"/>
          <w:bCs/>
        </w:rPr>
        <w:t>80%</w:t>
      </w:r>
      <w:r>
        <w:rPr>
          <w:rFonts w:hint="eastAsia"/>
          <w:bCs/>
        </w:rPr>
        <w:t>的污水厂的能耗值都小于或等于该数值）作为能耗先进值，也是节能评价值。具体能耗限额统计结果如表</w:t>
      </w:r>
      <w:r>
        <w:rPr>
          <w:bCs/>
        </w:rPr>
        <w:t>4</w:t>
      </w:r>
      <w:r>
        <w:rPr>
          <w:rFonts w:hint="eastAsia"/>
          <w:bCs/>
        </w:rPr>
        <w:t>-</w:t>
      </w:r>
      <w:r>
        <w:rPr>
          <w:bCs/>
        </w:rPr>
        <w:t>4</w:t>
      </w:r>
      <w:r>
        <w:rPr>
          <w:rFonts w:hint="eastAsia"/>
          <w:bCs/>
        </w:rPr>
        <w:t>所示。</w:t>
      </w:r>
    </w:p>
    <w:p w:rsidR="008E7D53" w:rsidRDefault="0098666E">
      <w:pPr>
        <w:spacing w:after="156"/>
        <w:ind w:firstLine="420"/>
        <w:jc w:val="center"/>
        <w:textAlignment w:val="baseline"/>
        <w:rPr>
          <w:sz w:val="16"/>
        </w:rPr>
      </w:pPr>
      <w:r>
        <w:rPr>
          <w:rFonts w:hint="eastAsia"/>
          <w:sz w:val="21"/>
        </w:rPr>
        <w:t>表</w:t>
      </w:r>
      <w:r>
        <w:rPr>
          <w:sz w:val="21"/>
        </w:rPr>
        <w:t xml:space="preserve">4-4 </w:t>
      </w:r>
      <w:r>
        <w:rPr>
          <w:rFonts w:hint="eastAsia"/>
          <w:sz w:val="21"/>
        </w:rPr>
        <w:t>城镇污水生物处理系统能耗限额</w:t>
      </w:r>
    </w:p>
    <w:tbl>
      <w:tblPr>
        <w:tblStyle w:val="24"/>
        <w:tblpPr w:leftFromText="180" w:rightFromText="180" w:vertAnchor="text" w:tblpXSpec="center" w:tblpY="1"/>
        <w:tblOverlap w:val="never"/>
        <w:tblW w:w="821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3119"/>
        <w:gridCol w:w="1627"/>
        <w:gridCol w:w="1627"/>
        <w:gridCol w:w="6"/>
      </w:tblGrid>
      <w:tr w:rsidR="008E7D53">
        <w:trPr>
          <w:tblHeader/>
        </w:trPr>
        <w:tc>
          <w:tcPr>
            <w:tcW w:w="1833" w:type="dxa"/>
            <w:vMerge w:val="restart"/>
            <w:tcBorders>
              <w:top w:val="single" w:sz="2" w:space="0" w:color="auto"/>
              <w:left w:val="single" w:sz="2" w:space="0" w:color="auto"/>
            </w:tcBorders>
            <w:vAlign w:val="center"/>
          </w:tcPr>
          <w:p w:rsidR="008E7D53" w:rsidRDefault="0098666E">
            <w:pPr>
              <w:widowControl/>
              <w:spacing w:line="240" w:lineRule="auto"/>
              <w:ind w:firstLineChars="0" w:firstLine="0"/>
              <w:jc w:val="center"/>
              <w:textAlignment w:val="baseline"/>
              <w:rPr>
                <w:kern w:val="0"/>
                <w:sz w:val="18"/>
                <w:szCs w:val="18"/>
              </w:rPr>
            </w:pPr>
            <w:r>
              <w:rPr>
                <w:kern w:val="0"/>
                <w:sz w:val="18"/>
                <w:szCs w:val="18"/>
              </w:rPr>
              <w:t>处理工艺</w:t>
            </w:r>
          </w:p>
        </w:tc>
        <w:tc>
          <w:tcPr>
            <w:tcW w:w="3119" w:type="dxa"/>
            <w:vMerge w:val="restart"/>
            <w:tcBorders>
              <w:top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kern w:val="0"/>
                <w:sz w:val="18"/>
                <w:szCs w:val="18"/>
              </w:rPr>
            </w:pPr>
            <w:r>
              <w:rPr>
                <w:kern w:val="0"/>
                <w:sz w:val="18"/>
                <w:szCs w:val="18"/>
              </w:rPr>
              <w:t>污水处理规模（万</w:t>
            </w:r>
            <w:r>
              <w:rPr>
                <w:kern w:val="0"/>
                <w:sz w:val="18"/>
                <w:szCs w:val="18"/>
              </w:rPr>
              <w:t>m</w:t>
            </w:r>
            <w:r>
              <w:rPr>
                <w:kern w:val="0"/>
                <w:sz w:val="18"/>
                <w:szCs w:val="18"/>
                <w:vertAlign w:val="superscript"/>
              </w:rPr>
              <w:t>3</w:t>
            </w:r>
            <w:r>
              <w:rPr>
                <w:kern w:val="0"/>
                <w:sz w:val="18"/>
                <w:szCs w:val="18"/>
              </w:rPr>
              <w:t>/d</w:t>
            </w:r>
            <w:r>
              <w:rPr>
                <w:kern w:val="0"/>
                <w:sz w:val="18"/>
                <w:szCs w:val="18"/>
              </w:rPr>
              <w:t>）</w:t>
            </w:r>
          </w:p>
        </w:tc>
        <w:tc>
          <w:tcPr>
            <w:tcW w:w="3260" w:type="dxa"/>
            <w:gridSpan w:val="3"/>
            <w:tcBorders>
              <w:top w:val="single" w:sz="2" w:space="0" w:color="auto"/>
              <w:bottom w:val="single" w:sz="4" w:space="0" w:color="auto"/>
              <w:right w:val="single" w:sz="2" w:space="0" w:color="auto"/>
            </w:tcBorders>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每千克总污染物去除电耗</w:t>
            </w:r>
          </w:p>
          <w:p w:rsidR="008E7D53" w:rsidRDefault="0098666E">
            <w:pPr>
              <w:spacing w:line="240" w:lineRule="auto"/>
              <w:ind w:firstLineChars="0" w:firstLine="0"/>
              <w:jc w:val="center"/>
              <w:textAlignment w:val="baseline"/>
              <w:rPr>
                <w:sz w:val="18"/>
                <w:szCs w:val="18"/>
              </w:rPr>
            </w:pPr>
            <w:r>
              <w:rPr>
                <w:sz w:val="18"/>
                <w:szCs w:val="18"/>
              </w:rPr>
              <w:t>（</w:t>
            </w:r>
            <w:r>
              <w:rPr>
                <w:sz w:val="18"/>
                <w:szCs w:val="18"/>
              </w:rPr>
              <w:t xml:space="preserve">kW·h/kg </w:t>
            </w:r>
            <w:r>
              <w:rPr>
                <w:sz w:val="18"/>
                <w:szCs w:val="18"/>
              </w:rPr>
              <w:t>总污染物）</w:t>
            </w:r>
          </w:p>
        </w:tc>
      </w:tr>
      <w:tr w:rsidR="008E7D53">
        <w:trPr>
          <w:gridAfter w:val="1"/>
          <w:wAfter w:w="6" w:type="dxa"/>
          <w:tblHeader/>
        </w:trPr>
        <w:tc>
          <w:tcPr>
            <w:tcW w:w="1833" w:type="dxa"/>
            <w:vMerge/>
            <w:tcBorders>
              <w:top w:val="single" w:sz="2" w:space="0" w:color="auto"/>
              <w:left w:val="single" w:sz="2" w:space="0" w:color="auto"/>
              <w:bottom w:val="single" w:sz="4" w:space="0" w:color="auto"/>
            </w:tcBorders>
            <w:vAlign w:val="center"/>
          </w:tcPr>
          <w:p w:rsidR="008E7D53" w:rsidRDefault="008E7D53">
            <w:pPr>
              <w:widowControl/>
              <w:spacing w:line="240" w:lineRule="auto"/>
              <w:ind w:firstLineChars="0" w:firstLine="0"/>
              <w:jc w:val="center"/>
              <w:textAlignment w:val="baseline"/>
              <w:rPr>
                <w:kern w:val="0"/>
                <w:sz w:val="18"/>
                <w:szCs w:val="18"/>
              </w:rPr>
            </w:pPr>
          </w:p>
        </w:tc>
        <w:tc>
          <w:tcPr>
            <w:tcW w:w="3119" w:type="dxa"/>
            <w:vMerge/>
            <w:tcBorders>
              <w:top w:val="single" w:sz="2" w:space="0" w:color="auto"/>
              <w:bottom w:val="single" w:sz="4" w:space="0" w:color="auto"/>
            </w:tcBorders>
            <w:shd w:val="clear" w:color="auto" w:fill="auto"/>
            <w:vAlign w:val="center"/>
          </w:tcPr>
          <w:p w:rsidR="008E7D53" w:rsidRDefault="008E7D53">
            <w:pPr>
              <w:widowControl/>
              <w:spacing w:line="240" w:lineRule="auto"/>
              <w:ind w:firstLineChars="0" w:firstLine="0"/>
              <w:jc w:val="center"/>
              <w:textAlignment w:val="baseline"/>
              <w:rPr>
                <w:kern w:val="0"/>
                <w:sz w:val="18"/>
                <w:szCs w:val="18"/>
              </w:rPr>
            </w:pPr>
          </w:p>
        </w:tc>
        <w:tc>
          <w:tcPr>
            <w:tcW w:w="1627" w:type="dxa"/>
            <w:tcBorders>
              <w:top w:val="single" w:sz="2" w:space="0" w:color="auto"/>
              <w:bottom w:val="single" w:sz="4" w:space="0" w:color="auto"/>
            </w:tcBorders>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80%</w:t>
            </w:r>
            <w:r>
              <w:rPr>
                <w:sz w:val="18"/>
                <w:szCs w:val="18"/>
              </w:rPr>
              <w:t>分位数</w:t>
            </w:r>
          </w:p>
        </w:tc>
        <w:tc>
          <w:tcPr>
            <w:tcW w:w="1627" w:type="dxa"/>
            <w:tcBorders>
              <w:top w:val="single" w:sz="4" w:space="0" w:color="auto"/>
              <w:bottom w:val="single" w:sz="4" w:space="0" w:color="auto"/>
              <w:right w:val="single" w:sz="2" w:space="0" w:color="auto"/>
            </w:tcBorders>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20%</w:t>
            </w:r>
            <w:r>
              <w:rPr>
                <w:sz w:val="18"/>
                <w:szCs w:val="18"/>
              </w:rPr>
              <w:t>分位数</w:t>
            </w:r>
          </w:p>
        </w:tc>
      </w:tr>
      <w:tr w:rsidR="008E7D53">
        <w:trPr>
          <w:gridAfter w:val="1"/>
          <w:wAfter w:w="6" w:type="dxa"/>
        </w:trPr>
        <w:tc>
          <w:tcPr>
            <w:tcW w:w="1833" w:type="dxa"/>
            <w:vMerge w:val="restart"/>
            <w:tcBorders>
              <w:top w:val="single" w:sz="4" w:space="0" w:color="auto"/>
              <w:left w:val="single" w:sz="2" w:space="0" w:color="auto"/>
            </w:tcBorders>
            <w:vAlign w:val="center"/>
          </w:tcPr>
          <w:p w:rsidR="008E7D53" w:rsidRDefault="0098666E">
            <w:pPr>
              <w:spacing w:line="240" w:lineRule="auto"/>
              <w:ind w:firstLineChars="0" w:firstLine="0"/>
              <w:jc w:val="center"/>
              <w:textAlignment w:val="baseline"/>
              <w:rPr>
                <w:sz w:val="18"/>
                <w:szCs w:val="18"/>
              </w:rPr>
            </w:pPr>
            <w:r>
              <w:rPr>
                <w:sz w:val="18"/>
                <w:szCs w:val="18"/>
              </w:rPr>
              <w:t>A</w:t>
            </w:r>
            <w:r>
              <w:rPr>
                <w:sz w:val="18"/>
                <w:szCs w:val="18"/>
                <w:vertAlign w:val="superscript"/>
              </w:rPr>
              <w:t>2</w:t>
            </w:r>
            <w:r>
              <w:rPr>
                <w:sz w:val="18"/>
                <w:szCs w:val="18"/>
              </w:rPr>
              <w:t>/O</w:t>
            </w:r>
            <w:r>
              <w:rPr>
                <w:sz w:val="18"/>
                <w:szCs w:val="18"/>
              </w:rPr>
              <w:t>及其变形</w:t>
            </w:r>
          </w:p>
        </w:tc>
        <w:tc>
          <w:tcPr>
            <w:tcW w:w="3119" w:type="dxa"/>
            <w:tcBorders>
              <w:top w:val="single" w:sz="4" w:space="0" w:color="auto"/>
              <w:bottom w:val="single" w:sz="4" w:space="0" w:color="auto"/>
            </w:tcBorders>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1</w:t>
            </w:r>
            <w:r>
              <w:rPr>
                <w:sz w:val="18"/>
                <w:szCs w:val="18"/>
              </w:rPr>
              <w:t>以下</w:t>
            </w:r>
          </w:p>
        </w:tc>
        <w:tc>
          <w:tcPr>
            <w:tcW w:w="1627" w:type="dxa"/>
            <w:tcBorders>
              <w:top w:val="single" w:sz="4" w:space="0" w:color="auto"/>
              <w:bottom w:val="single" w:sz="4" w:space="0" w:color="auto"/>
            </w:tcBorders>
            <w:shd w:val="clear" w:color="auto" w:fill="auto"/>
            <w:vAlign w:val="center"/>
          </w:tcPr>
          <w:p w:rsidR="008E7D53" w:rsidRDefault="0098666E">
            <w:pPr>
              <w:widowControl/>
              <w:spacing w:line="240" w:lineRule="auto"/>
              <w:ind w:firstLineChars="0" w:firstLine="0"/>
              <w:jc w:val="center"/>
              <w:textAlignment w:val="baseline"/>
              <w:rPr>
                <w:sz w:val="18"/>
                <w:szCs w:val="18"/>
                <w:highlight w:val="yellow"/>
              </w:rPr>
            </w:pPr>
            <w:r>
              <w:rPr>
                <w:sz w:val="18"/>
                <w:szCs w:val="18"/>
              </w:rPr>
              <w:t>0.898</w:t>
            </w:r>
          </w:p>
        </w:tc>
        <w:tc>
          <w:tcPr>
            <w:tcW w:w="1627" w:type="dxa"/>
            <w:tcBorders>
              <w:top w:val="single" w:sz="4" w:space="0" w:color="auto"/>
              <w:bottom w:val="single" w:sz="4" w:space="0" w:color="auto"/>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sz w:val="18"/>
                <w:szCs w:val="18"/>
                <w:highlight w:val="yellow"/>
              </w:rPr>
            </w:pPr>
            <w:r>
              <w:rPr>
                <w:sz w:val="18"/>
                <w:szCs w:val="18"/>
              </w:rPr>
              <w:t>0.342</w:t>
            </w:r>
          </w:p>
        </w:tc>
      </w:tr>
      <w:tr w:rsidR="008E7D53">
        <w:trPr>
          <w:gridAfter w:val="1"/>
          <w:wAfter w:w="6" w:type="dxa"/>
        </w:trPr>
        <w:tc>
          <w:tcPr>
            <w:tcW w:w="1833" w:type="dxa"/>
            <w:vMerge/>
            <w:tcBorders>
              <w:left w:val="single" w:sz="2" w:space="0" w:color="auto"/>
            </w:tcBorders>
            <w:vAlign w:val="center"/>
          </w:tcPr>
          <w:p w:rsidR="008E7D53" w:rsidRDefault="008E7D53">
            <w:pPr>
              <w:spacing w:line="240" w:lineRule="auto"/>
              <w:ind w:firstLineChars="0" w:firstLine="0"/>
              <w:jc w:val="center"/>
              <w:textAlignment w:val="baseline"/>
              <w:rPr>
                <w:sz w:val="18"/>
                <w:szCs w:val="18"/>
              </w:rPr>
            </w:pPr>
          </w:p>
        </w:tc>
        <w:tc>
          <w:tcPr>
            <w:tcW w:w="3119" w:type="dxa"/>
            <w:tcBorders>
              <w:top w:val="single" w:sz="4" w:space="0" w:color="auto"/>
              <w:bottom w:val="single" w:sz="4" w:space="0" w:color="auto"/>
            </w:tcBorders>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1~5</w:t>
            </w:r>
            <w:r>
              <w:rPr>
                <w:sz w:val="18"/>
                <w:szCs w:val="18"/>
              </w:rPr>
              <w:t>（含</w:t>
            </w:r>
            <w:r>
              <w:rPr>
                <w:sz w:val="18"/>
                <w:szCs w:val="18"/>
              </w:rPr>
              <w:t>1</w:t>
            </w:r>
            <w:r>
              <w:rPr>
                <w:sz w:val="18"/>
                <w:szCs w:val="18"/>
              </w:rPr>
              <w:t>）</w:t>
            </w:r>
          </w:p>
        </w:tc>
        <w:tc>
          <w:tcPr>
            <w:tcW w:w="1627" w:type="dxa"/>
            <w:tcBorders>
              <w:top w:val="single" w:sz="4" w:space="0" w:color="auto"/>
              <w:bottom w:val="single" w:sz="4" w:space="0" w:color="auto"/>
            </w:tcBorders>
            <w:shd w:val="clear" w:color="auto" w:fill="auto"/>
            <w:vAlign w:val="center"/>
          </w:tcPr>
          <w:p w:rsidR="008E7D53" w:rsidRDefault="0098666E">
            <w:pPr>
              <w:widowControl/>
              <w:spacing w:line="240" w:lineRule="auto"/>
              <w:ind w:firstLineChars="0" w:firstLine="0"/>
              <w:jc w:val="center"/>
              <w:textAlignment w:val="baseline"/>
              <w:rPr>
                <w:sz w:val="18"/>
                <w:szCs w:val="18"/>
                <w:highlight w:val="yellow"/>
              </w:rPr>
            </w:pPr>
            <w:r>
              <w:rPr>
                <w:sz w:val="18"/>
                <w:szCs w:val="18"/>
              </w:rPr>
              <w:t>0.378</w:t>
            </w:r>
          </w:p>
        </w:tc>
        <w:tc>
          <w:tcPr>
            <w:tcW w:w="1627" w:type="dxa"/>
            <w:tcBorders>
              <w:top w:val="single" w:sz="4" w:space="0" w:color="auto"/>
              <w:bottom w:val="single" w:sz="4" w:space="0" w:color="auto"/>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sz w:val="18"/>
                <w:szCs w:val="18"/>
                <w:highlight w:val="yellow"/>
              </w:rPr>
            </w:pPr>
            <w:r>
              <w:rPr>
                <w:sz w:val="18"/>
                <w:szCs w:val="18"/>
              </w:rPr>
              <w:t>0.221</w:t>
            </w:r>
          </w:p>
        </w:tc>
      </w:tr>
      <w:tr w:rsidR="008E7D53">
        <w:trPr>
          <w:gridAfter w:val="1"/>
          <w:wAfter w:w="6" w:type="dxa"/>
        </w:trPr>
        <w:tc>
          <w:tcPr>
            <w:tcW w:w="1833" w:type="dxa"/>
            <w:vMerge/>
            <w:tcBorders>
              <w:left w:val="single" w:sz="2" w:space="0" w:color="auto"/>
            </w:tcBorders>
            <w:vAlign w:val="center"/>
          </w:tcPr>
          <w:p w:rsidR="008E7D53" w:rsidRDefault="008E7D53">
            <w:pPr>
              <w:spacing w:line="240" w:lineRule="auto"/>
              <w:ind w:firstLineChars="0" w:firstLine="0"/>
              <w:jc w:val="center"/>
              <w:textAlignment w:val="baseline"/>
              <w:rPr>
                <w:sz w:val="18"/>
                <w:szCs w:val="18"/>
              </w:rPr>
            </w:pPr>
          </w:p>
        </w:tc>
        <w:tc>
          <w:tcPr>
            <w:tcW w:w="3119" w:type="dxa"/>
            <w:tcBorders>
              <w:top w:val="single" w:sz="4" w:space="0" w:color="auto"/>
              <w:bottom w:val="single" w:sz="4" w:space="0" w:color="auto"/>
            </w:tcBorders>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5~10</w:t>
            </w:r>
            <w:r>
              <w:rPr>
                <w:sz w:val="18"/>
                <w:szCs w:val="18"/>
              </w:rPr>
              <w:t>（含</w:t>
            </w:r>
            <w:r>
              <w:rPr>
                <w:sz w:val="18"/>
                <w:szCs w:val="18"/>
              </w:rPr>
              <w:t>5</w:t>
            </w:r>
            <w:r>
              <w:rPr>
                <w:sz w:val="18"/>
                <w:szCs w:val="18"/>
              </w:rPr>
              <w:t>）</w:t>
            </w:r>
          </w:p>
        </w:tc>
        <w:tc>
          <w:tcPr>
            <w:tcW w:w="1627" w:type="dxa"/>
            <w:tcBorders>
              <w:top w:val="single" w:sz="4" w:space="0" w:color="auto"/>
              <w:bottom w:val="single" w:sz="4" w:space="0" w:color="auto"/>
            </w:tcBorders>
            <w:shd w:val="clear" w:color="auto" w:fill="auto"/>
            <w:vAlign w:val="center"/>
          </w:tcPr>
          <w:p w:rsidR="008E7D53" w:rsidRDefault="0098666E">
            <w:pPr>
              <w:widowControl/>
              <w:spacing w:line="240" w:lineRule="auto"/>
              <w:ind w:firstLineChars="0" w:firstLine="0"/>
              <w:jc w:val="center"/>
              <w:textAlignment w:val="baseline"/>
              <w:rPr>
                <w:sz w:val="18"/>
                <w:szCs w:val="18"/>
                <w:highlight w:val="yellow"/>
              </w:rPr>
            </w:pPr>
            <w:r>
              <w:rPr>
                <w:sz w:val="18"/>
                <w:szCs w:val="18"/>
              </w:rPr>
              <w:t>0.261</w:t>
            </w:r>
          </w:p>
        </w:tc>
        <w:tc>
          <w:tcPr>
            <w:tcW w:w="1627" w:type="dxa"/>
            <w:tcBorders>
              <w:top w:val="single" w:sz="4" w:space="0" w:color="auto"/>
              <w:bottom w:val="single" w:sz="4" w:space="0" w:color="auto"/>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sz w:val="18"/>
                <w:szCs w:val="18"/>
                <w:highlight w:val="yellow"/>
              </w:rPr>
            </w:pPr>
            <w:r>
              <w:rPr>
                <w:sz w:val="18"/>
                <w:szCs w:val="18"/>
              </w:rPr>
              <w:t>0.162</w:t>
            </w:r>
          </w:p>
        </w:tc>
      </w:tr>
      <w:tr w:rsidR="008E7D53">
        <w:trPr>
          <w:gridAfter w:val="1"/>
          <w:wAfter w:w="6" w:type="dxa"/>
        </w:trPr>
        <w:tc>
          <w:tcPr>
            <w:tcW w:w="1833" w:type="dxa"/>
            <w:vMerge/>
            <w:tcBorders>
              <w:left w:val="single" w:sz="2" w:space="0" w:color="auto"/>
            </w:tcBorders>
            <w:vAlign w:val="center"/>
          </w:tcPr>
          <w:p w:rsidR="008E7D53" w:rsidRDefault="008E7D53">
            <w:pPr>
              <w:spacing w:line="240" w:lineRule="auto"/>
              <w:ind w:firstLineChars="0" w:firstLine="0"/>
              <w:jc w:val="center"/>
              <w:textAlignment w:val="baseline"/>
              <w:rPr>
                <w:sz w:val="18"/>
                <w:szCs w:val="18"/>
              </w:rPr>
            </w:pPr>
          </w:p>
        </w:tc>
        <w:tc>
          <w:tcPr>
            <w:tcW w:w="3119" w:type="dxa"/>
            <w:tcBorders>
              <w:top w:val="single" w:sz="4" w:space="0" w:color="auto"/>
              <w:bottom w:val="single" w:sz="4" w:space="0" w:color="auto"/>
            </w:tcBorders>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10~20</w:t>
            </w:r>
            <w:r>
              <w:rPr>
                <w:sz w:val="18"/>
                <w:szCs w:val="18"/>
              </w:rPr>
              <w:t>（含</w:t>
            </w:r>
            <w:r>
              <w:rPr>
                <w:sz w:val="18"/>
                <w:szCs w:val="18"/>
              </w:rPr>
              <w:t>10</w:t>
            </w:r>
            <w:r>
              <w:rPr>
                <w:sz w:val="18"/>
                <w:szCs w:val="18"/>
              </w:rPr>
              <w:t>）</w:t>
            </w:r>
          </w:p>
        </w:tc>
        <w:tc>
          <w:tcPr>
            <w:tcW w:w="1627" w:type="dxa"/>
            <w:tcBorders>
              <w:top w:val="single" w:sz="4" w:space="0" w:color="auto"/>
              <w:bottom w:val="single" w:sz="4" w:space="0" w:color="auto"/>
            </w:tcBorders>
            <w:shd w:val="clear" w:color="auto" w:fill="auto"/>
            <w:vAlign w:val="center"/>
          </w:tcPr>
          <w:p w:rsidR="008E7D53" w:rsidRDefault="0098666E">
            <w:pPr>
              <w:widowControl/>
              <w:spacing w:line="240" w:lineRule="auto"/>
              <w:ind w:firstLineChars="0" w:firstLine="0"/>
              <w:jc w:val="center"/>
              <w:textAlignment w:val="baseline"/>
              <w:rPr>
                <w:sz w:val="18"/>
                <w:szCs w:val="18"/>
                <w:highlight w:val="yellow"/>
              </w:rPr>
            </w:pPr>
            <w:r>
              <w:rPr>
                <w:sz w:val="18"/>
                <w:szCs w:val="18"/>
              </w:rPr>
              <w:t>0.172</w:t>
            </w:r>
          </w:p>
        </w:tc>
        <w:tc>
          <w:tcPr>
            <w:tcW w:w="1627" w:type="dxa"/>
            <w:tcBorders>
              <w:top w:val="single" w:sz="4" w:space="0" w:color="auto"/>
              <w:bottom w:val="single" w:sz="4" w:space="0" w:color="auto"/>
              <w:right w:val="single" w:sz="2" w:space="0" w:color="auto"/>
            </w:tcBorders>
            <w:shd w:val="clear" w:color="auto" w:fill="auto"/>
            <w:vAlign w:val="center"/>
          </w:tcPr>
          <w:p w:rsidR="008E7D53" w:rsidRDefault="0098666E">
            <w:pPr>
              <w:spacing w:line="240" w:lineRule="auto"/>
              <w:ind w:firstLineChars="0" w:firstLine="0"/>
              <w:jc w:val="center"/>
              <w:textAlignment w:val="baseline"/>
              <w:rPr>
                <w:sz w:val="18"/>
                <w:szCs w:val="18"/>
                <w:highlight w:val="yellow"/>
              </w:rPr>
            </w:pPr>
            <w:r>
              <w:rPr>
                <w:sz w:val="18"/>
                <w:szCs w:val="18"/>
              </w:rPr>
              <w:t>0.153</w:t>
            </w:r>
          </w:p>
        </w:tc>
      </w:tr>
      <w:tr w:rsidR="008E7D53">
        <w:trPr>
          <w:gridAfter w:val="1"/>
          <w:wAfter w:w="6" w:type="dxa"/>
        </w:trPr>
        <w:tc>
          <w:tcPr>
            <w:tcW w:w="1833" w:type="dxa"/>
            <w:vMerge/>
            <w:tcBorders>
              <w:left w:val="single" w:sz="2" w:space="0" w:color="auto"/>
            </w:tcBorders>
            <w:vAlign w:val="center"/>
          </w:tcPr>
          <w:p w:rsidR="008E7D53" w:rsidRDefault="008E7D53">
            <w:pPr>
              <w:spacing w:line="240" w:lineRule="auto"/>
              <w:ind w:firstLineChars="0" w:firstLine="0"/>
              <w:jc w:val="center"/>
              <w:textAlignment w:val="baseline"/>
              <w:rPr>
                <w:sz w:val="18"/>
                <w:szCs w:val="18"/>
              </w:rPr>
            </w:pPr>
          </w:p>
        </w:tc>
        <w:tc>
          <w:tcPr>
            <w:tcW w:w="3119" w:type="dxa"/>
            <w:tcBorders>
              <w:top w:val="single" w:sz="4" w:space="0" w:color="auto"/>
            </w:tcBorders>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20</w:t>
            </w:r>
            <w:r>
              <w:rPr>
                <w:sz w:val="18"/>
                <w:szCs w:val="18"/>
              </w:rPr>
              <w:t>以上（含</w:t>
            </w:r>
            <w:r>
              <w:rPr>
                <w:sz w:val="18"/>
                <w:szCs w:val="18"/>
              </w:rPr>
              <w:t>20</w:t>
            </w:r>
            <w:r>
              <w:rPr>
                <w:sz w:val="18"/>
                <w:szCs w:val="18"/>
              </w:rPr>
              <w:t>）</w:t>
            </w:r>
          </w:p>
        </w:tc>
        <w:tc>
          <w:tcPr>
            <w:tcW w:w="1627" w:type="dxa"/>
            <w:tcBorders>
              <w:top w:val="single" w:sz="4" w:space="0" w:color="auto"/>
            </w:tcBorders>
            <w:shd w:val="clear" w:color="auto" w:fill="auto"/>
            <w:vAlign w:val="center"/>
          </w:tcPr>
          <w:p w:rsidR="008E7D53" w:rsidRDefault="0098666E">
            <w:pPr>
              <w:widowControl/>
              <w:spacing w:line="240" w:lineRule="auto"/>
              <w:ind w:firstLineChars="0" w:firstLine="0"/>
              <w:jc w:val="center"/>
              <w:textAlignment w:val="baseline"/>
              <w:rPr>
                <w:sz w:val="18"/>
                <w:szCs w:val="18"/>
                <w:highlight w:val="yellow"/>
              </w:rPr>
            </w:pPr>
            <w:r>
              <w:rPr>
                <w:sz w:val="18"/>
                <w:szCs w:val="18"/>
              </w:rPr>
              <w:t>0.139</w:t>
            </w:r>
          </w:p>
        </w:tc>
        <w:tc>
          <w:tcPr>
            <w:tcW w:w="1627" w:type="dxa"/>
            <w:tcBorders>
              <w:top w:val="single" w:sz="4" w:space="0" w:color="auto"/>
              <w:right w:val="single" w:sz="2" w:space="0" w:color="auto"/>
            </w:tcBorders>
            <w:shd w:val="clear" w:color="auto" w:fill="auto"/>
            <w:vAlign w:val="center"/>
          </w:tcPr>
          <w:p w:rsidR="008E7D53" w:rsidRDefault="0098666E">
            <w:pPr>
              <w:spacing w:line="240" w:lineRule="auto"/>
              <w:ind w:firstLineChars="0" w:firstLine="0"/>
              <w:jc w:val="center"/>
              <w:textAlignment w:val="baseline"/>
              <w:rPr>
                <w:sz w:val="18"/>
                <w:szCs w:val="18"/>
                <w:highlight w:val="yellow"/>
              </w:rPr>
            </w:pPr>
            <w:r>
              <w:rPr>
                <w:sz w:val="18"/>
                <w:szCs w:val="18"/>
              </w:rPr>
              <w:t>0.134</w:t>
            </w:r>
          </w:p>
        </w:tc>
      </w:tr>
      <w:tr w:rsidR="008E7D53">
        <w:trPr>
          <w:gridAfter w:val="1"/>
          <w:wAfter w:w="6" w:type="dxa"/>
        </w:trPr>
        <w:tc>
          <w:tcPr>
            <w:tcW w:w="1833" w:type="dxa"/>
            <w:vMerge w:val="restart"/>
            <w:tcBorders>
              <w:left w:val="single" w:sz="2" w:space="0" w:color="auto"/>
            </w:tcBorders>
            <w:vAlign w:val="center"/>
          </w:tcPr>
          <w:p w:rsidR="008E7D53" w:rsidRDefault="0098666E">
            <w:pPr>
              <w:spacing w:line="240" w:lineRule="auto"/>
              <w:ind w:firstLineChars="0" w:firstLine="0"/>
              <w:jc w:val="center"/>
              <w:textAlignment w:val="baseline"/>
              <w:rPr>
                <w:sz w:val="18"/>
                <w:szCs w:val="18"/>
              </w:rPr>
            </w:pPr>
            <w:r>
              <w:rPr>
                <w:sz w:val="18"/>
                <w:szCs w:val="18"/>
              </w:rPr>
              <w:t>氧化沟及其变形</w:t>
            </w:r>
          </w:p>
        </w:tc>
        <w:tc>
          <w:tcPr>
            <w:tcW w:w="3119" w:type="dxa"/>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1</w:t>
            </w:r>
            <w:r>
              <w:rPr>
                <w:sz w:val="18"/>
                <w:szCs w:val="18"/>
              </w:rPr>
              <w:t>以下</w:t>
            </w:r>
          </w:p>
        </w:tc>
        <w:tc>
          <w:tcPr>
            <w:tcW w:w="1627" w:type="dxa"/>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0.920</w:t>
            </w:r>
          </w:p>
        </w:tc>
        <w:tc>
          <w:tcPr>
            <w:tcW w:w="1627" w:type="dxa"/>
            <w:tcBorders>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0.297</w:t>
            </w:r>
          </w:p>
        </w:tc>
      </w:tr>
      <w:tr w:rsidR="008E7D53">
        <w:trPr>
          <w:gridAfter w:val="1"/>
          <w:wAfter w:w="6" w:type="dxa"/>
        </w:trPr>
        <w:tc>
          <w:tcPr>
            <w:tcW w:w="1833" w:type="dxa"/>
            <w:vMerge/>
            <w:tcBorders>
              <w:left w:val="single" w:sz="2" w:space="0" w:color="auto"/>
            </w:tcBorders>
            <w:vAlign w:val="center"/>
          </w:tcPr>
          <w:p w:rsidR="008E7D53" w:rsidRDefault="008E7D53">
            <w:pPr>
              <w:spacing w:line="240" w:lineRule="auto"/>
              <w:ind w:firstLineChars="0" w:firstLine="0"/>
              <w:textAlignment w:val="baseline"/>
              <w:rPr>
                <w:sz w:val="18"/>
                <w:szCs w:val="18"/>
              </w:rPr>
            </w:pPr>
          </w:p>
        </w:tc>
        <w:tc>
          <w:tcPr>
            <w:tcW w:w="3119" w:type="dxa"/>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1~5</w:t>
            </w:r>
            <w:r>
              <w:rPr>
                <w:sz w:val="18"/>
                <w:szCs w:val="18"/>
              </w:rPr>
              <w:t>（含</w:t>
            </w:r>
            <w:r>
              <w:rPr>
                <w:sz w:val="18"/>
                <w:szCs w:val="18"/>
              </w:rPr>
              <w:t>1</w:t>
            </w:r>
            <w:r>
              <w:rPr>
                <w:sz w:val="18"/>
                <w:szCs w:val="18"/>
              </w:rPr>
              <w:t>）</w:t>
            </w:r>
          </w:p>
        </w:tc>
        <w:tc>
          <w:tcPr>
            <w:tcW w:w="1627" w:type="dxa"/>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0.550</w:t>
            </w:r>
          </w:p>
        </w:tc>
        <w:tc>
          <w:tcPr>
            <w:tcW w:w="1627" w:type="dxa"/>
            <w:tcBorders>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0.243</w:t>
            </w:r>
          </w:p>
        </w:tc>
      </w:tr>
      <w:tr w:rsidR="008E7D53">
        <w:trPr>
          <w:gridAfter w:val="1"/>
          <w:wAfter w:w="6" w:type="dxa"/>
        </w:trPr>
        <w:tc>
          <w:tcPr>
            <w:tcW w:w="1833" w:type="dxa"/>
            <w:vMerge/>
            <w:tcBorders>
              <w:left w:val="single" w:sz="2" w:space="0" w:color="auto"/>
            </w:tcBorders>
            <w:vAlign w:val="center"/>
          </w:tcPr>
          <w:p w:rsidR="008E7D53" w:rsidRDefault="008E7D53">
            <w:pPr>
              <w:spacing w:line="240" w:lineRule="auto"/>
              <w:ind w:firstLineChars="0" w:firstLine="0"/>
              <w:textAlignment w:val="baseline"/>
              <w:rPr>
                <w:sz w:val="18"/>
                <w:szCs w:val="18"/>
              </w:rPr>
            </w:pPr>
          </w:p>
        </w:tc>
        <w:tc>
          <w:tcPr>
            <w:tcW w:w="3119" w:type="dxa"/>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5~10</w:t>
            </w:r>
            <w:r>
              <w:rPr>
                <w:sz w:val="18"/>
                <w:szCs w:val="18"/>
              </w:rPr>
              <w:t>（含</w:t>
            </w:r>
            <w:r>
              <w:rPr>
                <w:sz w:val="18"/>
                <w:szCs w:val="18"/>
              </w:rPr>
              <w:t>5</w:t>
            </w:r>
            <w:r>
              <w:rPr>
                <w:sz w:val="18"/>
                <w:szCs w:val="18"/>
              </w:rPr>
              <w:t>）</w:t>
            </w:r>
          </w:p>
        </w:tc>
        <w:tc>
          <w:tcPr>
            <w:tcW w:w="1627" w:type="dxa"/>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0.282</w:t>
            </w:r>
          </w:p>
        </w:tc>
        <w:tc>
          <w:tcPr>
            <w:tcW w:w="1627" w:type="dxa"/>
            <w:tcBorders>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0.210</w:t>
            </w:r>
          </w:p>
        </w:tc>
      </w:tr>
      <w:tr w:rsidR="008E7D53">
        <w:trPr>
          <w:gridAfter w:val="1"/>
          <w:wAfter w:w="6" w:type="dxa"/>
        </w:trPr>
        <w:tc>
          <w:tcPr>
            <w:tcW w:w="1833" w:type="dxa"/>
            <w:vMerge w:val="restart"/>
            <w:tcBorders>
              <w:left w:val="single" w:sz="2" w:space="0" w:color="auto"/>
            </w:tcBorders>
            <w:vAlign w:val="center"/>
          </w:tcPr>
          <w:p w:rsidR="008E7D53" w:rsidRDefault="0098666E">
            <w:pPr>
              <w:spacing w:line="240" w:lineRule="auto"/>
              <w:ind w:firstLineChars="0" w:firstLine="0"/>
              <w:jc w:val="center"/>
              <w:textAlignment w:val="baseline"/>
              <w:rPr>
                <w:sz w:val="18"/>
                <w:szCs w:val="18"/>
              </w:rPr>
            </w:pPr>
            <w:r>
              <w:rPr>
                <w:sz w:val="18"/>
                <w:szCs w:val="18"/>
              </w:rPr>
              <w:t>A/O</w:t>
            </w:r>
            <w:r>
              <w:rPr>
                <w:sz w:val="18"/>
                <w:szCs w:val="18"/>
              </w:rPr>
              <w:t>及其变形</w:t>
            </w:r>
          </w:p>
        </w:tc>
        <w:tc>
          <w:tcPr>
            <w:tcW w:w="3119" w:type="dxa"/>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1</w:t>
            </w:r>
            <w:r>
              <w:rPr>
                <w:sz w:val="18"/>
                <w:szCs w:val="18"/>
              </w:rPr>
              <w:t>以下</w:t>
            </w:r>
          </w:p>
        </w:tc>
        <w:tc>
          <w:tcPr>
            <w:tcW w:w="1627" w:type="dxa"/>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0.387</w:t>
            </w:r>
          </w:p>
        </w:tc>
        <w:tc>
          <w:tcPr>
            <w:tcW w:w="1627" w:type="dxa"/>
            <w:tcBorders>
              <w:bottom w:val="single" w:sz="2" w:space="0" w:color="auto"/>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0.305</w:t>
            </w:r>
          </w:p>
        </w:tc>
      </w:tr>
      <w:tr w:rsidR="008E7D53">
        <w:trPr>
          <w:gridAfter w:val="1"/>
          <w:wAfter w:w="6" w:type="dxa"/>
        </w:trPr>
        <w:tc>
          <w:tcPr>
            <w:tcW w:w="1833" w:type="dxa"/>
            <w:vMerge/>
            <w:tcBorders>
              <w:left w:val="single" w:sz="2" w:space="0" w:color="auto"/>
            </w:tcBorders>
            <w:vAlign w:val="center"/>
          </w:tcPr>
          <w:p w:rsidR="008E7D53" w:rsidRDefault="008E7D53">
            <w:pPr>
              <w:spacing w:line="240" w:lineRule="auto"/>
              <w:ind w:firstLineChars="0" w:firstLine="0"/>
              <w:textAlignment w:val="baseline"/>
              <w:rPr>
                <w:sz w:val="18"/>
                <w:szCs w:val="18"/>
              </w:rPr>
            </w:pPr>
          </w:p>
        </w:tc>
        <w:tc>
          <w:tcPr>
            <w:tcW w:w="3119" w:type="dxa"/>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1~5</w:t>
            </w:r>
            <w:r>
              <w:rPr>
                <w:sz w:val="18"/>
                <w:szCs w:val="18"/>
              </w:rPr>
              <w:t>（含</w:t>
            </w:r>
            <w:r>
              <w:rPr>
                <w:sz w:val="18"/>
                <w:szCs w:val="18"/>
              </w:rPr>
              <w:t>1</w:t>
            </w:r>
            <w:r>
              <w:rPr>
                <w:sz w:val="18"/>
                <w:szCs w:val="18"/>
              </w:rPr>
              <w:t>）</w:t>
            </w:r>
          </w:p>
        </w:tc>
        <w:tc>
          <w:tcPr>
            <w:tcW w:w="1627" w:type="dxa"/>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0.349</w:t>
            </w:r>
          </w:p>
        </w:tc>
        <w:tc>
          <w:tcPr>
            <w:tcW w:w="1627" w:type="dxa"/>
            <w:tcBorders>
              <w:top w:val="single" w:sz="2" w:space="0" w:color="auto"/>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0.222</w:t>
            </w:r>
          </w:p>
        </w:tc>
      </w:tr>
      <w:tr w:rsidR="008E7D53">
        <w:trPr>
          <w:gridAfter w:val="1"/>
          <w:wAfter w:w="6" w:type="dxa"/>
        </w:trPr>
        <w:tc>
          <w:tcPr>
            <w:tcW w:w="1833" w:type="dxa"/>
            <w:vMerge w:val="restart"/>
            <w:tcBorders>
              <w:left w:val="single" w:sz="2" w:space="0" w:color="auto"/>
            </w:tcBorders>
            <w:vAlign w:val="center"/>
          </w:tcPr>
          <w:p w:rsidR="008E7D53" w:rsidRDefault="0098666E">
            <w:pPr>
              <w:spacing w:line="240" w:lineRule="auto"/>
              <w:ind w:firstLineChars="0" w:firstLine="0"/>
              <w:jc w:val="center"/>
              <w:textAlignment w:val="baseline"/>
              <w:rPr>
                <w:sz w:val="18"/>
                <w:szCs w:val="18"/>
              </w:rPr>
            </w:pPr>
            <w:r>
              <w:rPr>
                <w:sz w:val="18"/>
                <w:szCs w:val="18"/>
              </w:rPr>
              <w:t>SBR</w:t>
            </w:r>
            <w:r>
              <w:rPr>
                <w:sz w:val="18"/>
                <w:szCs w:val="18"/>
              </w:rPr>
              <w:t>及其变形</w:t>
            </w:r>
          </w:p>
        </w:tc>
        <w:tc>
          <w:tcPr>
            <w:tcW w:w="3119" w:type="dxa"/>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1</w:t>
            </w:r>
            <w:r>
              <w:rPr>
                <w:sz w:val="18"/>
                <w:szCs w:val="18"/>
              </w:rPr>
              <w:t>以下</w:t>
            </w:r>
          </w:p>
        </w:tc>
        <w:tc>
          <w:tcPr>
            <w:tcW w:w="1627" w:type="dxa"/>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0.489</w:t>
            </w:r>
          </w:p>
        </w:tc>
        <w:tc>
          <w:tcPr>
            <w:tcW w:w="1627" w:type="dxa"/>
            <w:tcBorders>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0.290</w:t>
            </w:r>
          </w:p>
        </w:tc>
      </w:tr>
      <w:tr w:rsidR="008E7D53">
        <w:trPr>
          <w:gridAfter w:val="1"/>
          <w:wAfter w:w="6" w:type="dxa"/>
          <w:trHeight w:val="377"/>
        </w:trPr>
        <w:tc>
          <w:tcPr>
            <w:tcW w:w="1833" w:type="dxa"/>
            <w:vMerge/>
            <w:tcBorders>
              <w:left w:val="single" w:sz="2" w:space="0" w:color="auto"/>
            </w:tcBorders>
            <w:vAlign w:val="center"/>
          </w:tcPr>
          <w:p w:rsidR="008E7D53" w:rsidRDefault="008E7D53">
            <w:pPr>
              <w:spacing w:line="240" w:lineRule="auto"/>
              <w:ind w:firstLineChars="0" w:firstLine="0"/>
              <w:jc w:val="center"/>
              <w:textAlignment w:val="baseline"/>
              <w:rPr>
                <w:sz w:val="18"/>
                <w:szCs w:val="18"/>
              </w:rPr>
            </w:pPr>
          </w:p>
        </w:tc>
        <w:tc>
          <w:tcPr>
            <w:tcW w:w="3119" w:type="dxa"/>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1~5</w:t>
            </w:r>
            <w:r>
              <w:rPr>
                <w:sz w:val="18"/>
                <w:szCs w:val="18"/>
              </w:rPr>
              <w:t>（含</w:t>
            </w:r>
            <w:r>
              <w:rPr>
                <w:sz w:val="18"/>
                <w:szCs w:val="18"/>
              </w:rPr>
              <w:t>1</w:t>
            </w:r>
            <w:r>
              <w:rPr>
                <w:sz w:val="18"/>
                <w:szCs w:val="18"/>
              </w:rPr>
              <w:t>）</w:t>
            </w:r>
          </w:p>
        </w:tc>
        <w:tc>
          <w:tcPr>
            <w:tcW w:w="1627" w:type="dxa"/>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0.287</w:t>
            </w:r>
          </w:p>
        </w:tc>
        <w:tc>
          <w:tcPr>
            <w:tcW w:w="1627" w:type="dxa"/>
            <w:tcBorders>
              <w:bottom w:val="single" w:sz="2" w:space="0" w:color="auto"/>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kern w:val="0"/>
                <w:sz w:val="18"/>
                <w:szCs w:val="18"/>
                <w:highlight w:val="yellow"/>
              </w:rPr>
            </w:pPr>
            <w:r>
              <w:rPr>
                <w:sz w:val="18"/>
                <w:szCs w:val="18"/>
              </w:rPr>
              <w:t>0.182</w:t>
            </w:r>
          </w:p>
        </w:tc>
      </w:tr>
      <w:tr w:rsidR="008E7D53">
        <w:trPr>
          <w:gridAfter w:val="1"/>
          <w:wAfter w:w="6" w:type="dxa"/>
        </w:trPr>
        <w:tc>
          <w:tcPr>
            <w:tcW w:w="1833" w:type="dxa"/>
            <w:tcBorders>
              <w:left w:val="single" w:sz="2" w:space="0" w:color="auto"/>
              <w:bottom w:val="single" w:sz="2" w:space="0" w:color="auto"/>
            </w:tcBorders>
            <w:vAlign w:val="center"/>
          </w:tcPr>
          <w:p w:rsidR="008E7D53" w:rsidRDefault="0098666E">
            <w:pPr>
              <w:spacing w:line="240" w:lineRule="auto"/>
              <w:ind w:firstLineChars="0" w:firstLine="0"/>
              <w:jc w:val="center"/>
              <w:textAlignment w:val="baseline"/>
              <w:rPr>
                <w:sz w:val="18"/>
                <w:szCs w:val="18"/>
              </w:rPr>
            </w:pPr>
            <w:r>
              <w:rPr>
                <w:sz w:val="18"/>
                <w:szCs w:val="18"/>
              </w:rPr>
              <w:t>生物膜法</w:t>
            </w:r>
          </w:p>
        </w:tc>
        <w:tc>
          <w:tcPr>
            <w:tcW w:w="3119" w:type="dxa"/>
            <w:tcBorders>
              <w:bottom w:val="single" w:sz="2" w:space="0" w:color="auto"/>
            </w:tcBorders>
            <w:shd w:val="clear" w:color="auto" w:fill="auto"/>
            <w:vAlign w:val="center"/>
          </w:tcPr>
          <w:p w:rsidR="008E7D53" w:rsidRDefault="0098666E">
            <w:pPr>
              <w:spacing w:line="240" w:lineRule="auto"/>
              <w:ind w:firstLineChars="0" w:firstLine="0"/>
              <w:jc w:val="center"/>
              <w:textAlignment w:val="baseline"/>
              <w:rPr>
                <w:sz w:val="18"/>
                <w:szCs w:val="18"/>
              </w:rPr>
            </w:pPr>
            <w:r>
              <w:rPr>
                <w:sz w:val="18"/>
                <w:szCs w:val="18"/>
              </w:rPr>
              <w:t>1</w:t>
            </w:r>
            <w:r>
              <w:rPr>
                <w:sz w:val="18"/>
                <w:szCs w:val="18"/>
              </w:rPr>
              <w:t>以下</w:t>
            </w:r>
          </w:p>
        </w:tc>
        <w:tc>
          <w:tcPr>
            <w:tcW w:w="1627" w:type="dxa"/>
            <w:tcBorders>
              <w:bottom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sz w:val="18"/>
                <w:szCs w:val="18"/>
              </w:rPr>
            </w:pPr>
            <w:r>
              <w:rPr>
                <w:sz w:val="18"/>
                <w:szCs w:val="18"/>
              </w:rPr>
              <w:t>0.383</w:t>
            </w:r>
          </w:p>
        </w:tc>
        <w:tc>
          <w:tcPr>
            <w:tcW w:w="1627" w:type="dxa"/>
            <w:tcBorders>
              <w:top w:val="single" w:sz="2" w:space="0" w:color="auto"/>
              <w:bottom w:val="single" w:sz="2" w:space="0" w:color="auto"/>
              <w:right w:val="single" w:sz="2" w:space="0" w:color="auto"/>
            </w:tcBorders>
            <w:shd w:val="clear" w:color="auto" w:fill="auto"/>
            <w:vAlign w:val="center"/>
          </w:tcPr>
          <w:p w:rsidR="008E7D53" w:rsidRDefault="0098666E">
            <w:pPr>
              <w:widowControl/>
              <w:spacing w:line="240" w:lineRule="auto"/>
              <w:ind w:firstLineChars="0" w:firstLine="0"/>
              <w:jc w:val="center"/>
              <w:textAlignment w:val="baseline"/>
              <w:rPr>
                <w:sz w:val="18"/>
                <w:szCs w:val="18"/>
              </w:rPr>
            </w:pPr>
            <w:r>
              <w:rPr>
                <w:sz w:val="18"/>
                <w:szCs w:val="18"/>
              </w:rPr>
              <w:t>0.154</w:t>
            </w:r>
          </w:p>
        </w:tc>
      </w:tr>
    </w:tbl>
    <w:p w:rsidR="008E7D53" w:rsidRDefault="008E7D53">
      <w:pPr>
        <w:ind w:firstLine="480"/>
      </w:pPr>
    </w:p>
    <w:p w:rsidR="008E7D53" w:rsidRDefault="0098666E">
      <w:pPr>
        <w:ind w:firstLine="480"/>
        <w:textAlignment w:val="baseline"/>
        <w:rPr>
          <w:bCs/>
        </w:rPr>
      </w:pPr>
      <w:r>
        <w:rPr>
          <w:rFonts w:hint="eastAsia"/>
          <w:bCs/>
        </w:rPr>
        <w:t>北京市地方标准《城镇污水处理能源消耗限额》（</w:t>
      </w:r>
      <w:r>
        <w:rPr>
          <w:bCs/>
        </w:rPr>
        <w:t>DB11/T 1118</w:t>
      </w:r>
      <w:r>
        <w:rPr>
          <w:rFonts w:hint="eastAsia"/>
          <w:bCs/>
        </w:rPr>
        <w:t>-</w:t>
      </w:r>
      <w:r>
        <w:rPr>
          <w:bCs/>
        </w:rPr>
        <w:t>2014</w:t>
      </w:r>
      <w:r>
        <w:rPr>
          <w:rFonts w:hint="eastAsia"/>
          <w:bCs/>
        </w:rPr>
        <w:t>）修订版公开征求意见稿中，根据其规定的电耗限定值和先进值，城镇水处理厂采用</w:t>
      </w:r>
      <w:r>
        <w:rPr>
          <w:bCs/>
        </w:rPr>
        <w:t>MBR</w:t>
      </w:r>
      <w:r>
        <w:rPr>
          <w:rFonts w:hint="eastAsia"/>
          <w:bCs/>
        </w:rPr>
        <w:t>处理工艺和非</w:t>
      </w:r>
      <w:r>
        <w:rPr>
          <w:rFonts w:hint="eastAsia"/>
          <w:bCs/>
        </w:rPr>
        <w:t>M</w:t>
      </w:r>
      <w:r>
        <w:rPr>
          <w:bCs/>
        </w:rPr>
        <w:t>BR</w:t>
      </w:r>
      <w:r>
        <w:rPr>
          <w:rFonts w:hint="eastAsia"/>
          <w:bCs/>
        </w:rPr>
        <w:t>处理工艺的能耗限额相差</w:t>
      </w:r>
      <w:r>
        <w:rPr>
          <w:rFonts w:hint="eastAsia"/>
          <w:bCs/>
        </w:rPr>
        <w:t>3</w:t>
      </w:r>
      <w:r>
        <w:rPr>
          <w:bCs/>
        </w:rPr>
        <w:t>6%</w:t>
      </w:r>
      <w:r>
        <w:rPr>
          <w:rFonts w:hint="eastAsia"/>
          <w:bCs/>
        </w:rPr>
        <w:t>左右。根据《江苏省城镇污水</w:t>
      </w:r>
      <w:r>
        <w:rPr>
          <w:rFonts w:hint="eastAsia"/>
          <w:bCs/>
        </w:rPr>
        <w:lastRenderedPageBreak/>
        <w:t>处理厂运行管理考核标准》（</w:t>
      </w:r>
      <w:r>
        <w:rPr>
          <w:rFonts w:hint="eastAsia"/>
          <w:bCs/>
        </w:rPr>
        <w:t>2</w:t>
      </w:r>
      <w:r>
        <w:rPr>
          <w:bCs/>
        </w:rPr>
        <w:t>020</w:t>
      </w:r>
      <w:r>
        <w:rPr>
          <w:rFonts w:hint="eastAsia"/>
          <w:bCs/>
        </w:rPr>
        <w:t>版），处理规模处于统一区间（如</w:t>
      </w:r>
      <w:r>
        <w:rPr>
          <w:rFonts w:hint="eastAsia"/>
          <w:bCs/>
        </w:rPr>
        <w:t>5</w:t>
      </w:r>
      <w:r>
        <w:rPr>
          <w:rFonts w:hint="eastAsia"/>
          <w:bCs/>
        </w:rPr>
        <w:t>万</w:t>
      </w:r>
      <w:r>
        <w:rPr>
          <w:bCs/>
        </w:rPr>
        <w:t>m</w:t>
      </w:r>
      <w:r>
        <w:rPr>
          <w:bCs/>
          <w:vertAlign w:val="superscript"/>
        </w:rPr>
        <w:t>3</w:t>
      </w:r>
      <w:r>
        <w:rPr>
          <w:bCs/>
        </w:rPr>
        <w:t>/d</w:t>
      </w:r>
      <w:r>
        <w:rPr>
          <w:rFonts w:hint="eastAsia"/>
          <w:bCs/>
        </w:rPr>
        <w:t>~</w:t>
      </w:r>
      <w:r>
        <w:rPr>
          <w:bCs/>
        </w:rPr>
        <w:t>10</w:t>
      </w:r>
      <w:r>
        <w:rPr>
          <w:rFonts w:hint="eastAsia"/>
          <w:bCs/>
        </w:rPr>
        <w:t>万</w:t>
      </w:r>
      <w:r>
        <w:rPr>
          <w:rFonts w:hint="eastAsia"/>
          <w:bCs/>
        </w:rPr>
        <w:t>m</w:t>
      </w:r>
      <w:r>
        <w:rPr>
          <w:bCs/>
          <w:vertAlign w:val="superscript"/>
        </w:rPr>
        <w:t>3</w:t>
      </w:r>
      <w:r>
        <w:rPr>
          <w:bCs/>
        </w:rPr>
        <w:t>/d</w:t>
      </w:r>
      <w:r>
        <w:rPr>
          <w:rFonts w:hint="eastAsia"/>
          <w:bCs/>
        </w:rPr>
        <w:t>）和出水执行标准一致的情况下（如</w:t>
      </w:r>
      <w:r>
        <w:rPr>
          <w:rFonts w:hint="eastAsia"/>
          <w:bCs/>
        </w:rPr>
        <w:t>G</w:t>
      </w:r>
      <w:r>
        <w:rPr>
          <w:bCs/>
        </w:rPr>
        <w:t>B 18918-2002</w:t>
      </w:r>
      <w:r>
        <w:rPr>
          <w:rFonts w:hint="eastAsia"/>
          <w:bCs/>
        </w:rPr>
        <w:t>一级</w:t>
      </w:r>
      <w:r>
        <w:rPr>
          <w:rFonts w:hint="eastAsia"/>
          <w:bCs/>
        </w:rPr>
        <w:t>A</w:t>
      </w:r>
      <w:r>
        <w:rPr>
          <w:rFonts w:hint="eastAsia"/>
          <w:bCs/>
        </w:rPr>
        <w:t>标准），采用</w:t>
      </w:r>
      <w:r>
        <w:rPr>
          <w:rFonts w:hint="eastAsia"/>
          <w:bCs/>
        </w:rPr>
        <w:t>M</w:t>
      </w:r>
      <w:r>
        <w:rPr>
          <w:bCs/>
        </w:rPr>
        <w:t>BR</w:t>
      </w:r>
      <w:r>
        <w:rPr>
          <w:rFonts w:hint="eastAsia"/>
          <w:bCs/>
        </w:rPr>
        <w:t>工艺的污水处理厂的考核能耗与未采用</w:t>
      </w:r>
      <w:r>
        <w:rPr>
          <w:rFonts w:hint="eastAsia"/>
          <w:bCs/>
        </w:rPr>
        <w:t>M</w:t>
      </w:r>
      <w:r>
        <w:rPr>
          <w:bCs/>
        </w:rPr>
        <w:t>BR</w:t>
      </w:r>
      <w:r>
        <w:rPr>
          <w:rFonts w:hint="eastAsia"/>
          <w:bCs/>
        </w:rPr>
        <w:t>工艺的污水厂的考核能耗相比可增加</w:t>
      </w:r>
      <w:r>
        <w:rPr>
          <w:rFonts w:hint="eastAsia"/>
          <w:bCs/>
        </w:rPr>
        <w:t>2</w:t>
      </w:r>
      <w:r>
        <w:rPr>
          <w:bCs/>
        </w:rPr>
        <w:t>5</w:t>
      </w:r>
      <w:r>
        <w:rPr>
          <w:rFonts w:hint="eastAsia"/>
          <w:bCs/>
        </w:rPr>
        <w:t>%</w:t>
      </w:r>
      <w:r>
        <w:rPr>
          <w:rFonts w:hint="eastAsia"/>
          <w:bCs/>
        </w:rPr>
        <w:t>。</w:t>
      </w:r>
    </w:p>
    <w:p w:rsidR="008E7D53" w:rsidRDefault="0098666E">
      <w:pPr>
        <w:ind w:firstLine="480"/>
      </w:pPr>
      <w:r>
        <w:t>根据编制组调研数据统计结果，调研期间，污水厂均执行</w:t>
      </w:r>
      <w:r>
        <w:t>GB 18918-2002</w:t>
      </w:r>
      <w:r>
        <w:t>中一级</w:t>
      </w:r>
      <w:r>
        <w:t>A</w:t>
      </w:r>
      <w:r>
        <w:t>标准，</w:t>
      </w:r>
      <w:r>
        <w:t>10</w:t>
      </w:r>
      <w:r>
        <w:t>万</w:t>
      </w:r>
      <w:r>
        <w:t>m</w:t>
      </w:r>
      <w:r>
        <w:rPr>
          <w:vertAlign w:val="superscript"/>
        </w:rPr>
        <w:t>3</w:t>
      </w:r>
      <w:r>
        <w:t>/d≤</w:t>
      </w:r>
      <w:r>
        <w:t>设计处理规模</w:t>
      </w:r>
      <w:r>
        <w:t>≤20</w:t>
      </w:r>
      <w:r>
        <w:t>万</w:t>
      </w:r>
      <w:r>
        <w:t>m</w:t>
      </w:r>
      <w:r>
        <w:rPr>
          <w:vertAlign w:val="superscript"/>
        </w:rPr>
        <w:t>3</w:t>
      </w:r>
      <w:r>
        <w:t>/d</w:t>
      </w:r>
      <w:r>
        <w:rPr>
          <w:rFonts w:hint="eastAsia"/>
        </w:rPr>
        <w:t>，</w:t>
      </w:r>
      <w:r>
        <w:rPr>
          <w:rFonts w:hint="eastAsia"/>
        </w:rPr>
        <w:t>将</w:t>
      </w:r>
      <w:r>
        <w:t>主体工艺分别为</w:t>
      </w:r>
      <w:r>
        <w:t>A</w:t>
      </w:r>
      <w:r>
        <w:rPr>
          <w:vertAlign w:val="superscript"/>
        </w:rPr>
        <w:t>2</w:t>
      </w:r>
      <w:r>
        <w:t>/O+MBR</w:t>
      </w:r>
      <w:r>
        <w:t>、</w:t>
      </w:r>
      <w:r>
        <w:t>AAOA+MBR</w:t>
      </w:r>
      <w:r>
        <w:t>工艺和</w:t>
      </w:r>
      <w:r>
        <w:t>A</w:t>
      </w:r>
      <w:r>
        <w:rPr>
          <w:vertAlign w:val="superscript"/>
        </w:rPr>
        <w:t>2</w:t>
      </w:r>
      <w:r>
        <w:t>/O</w:t>
      </w:r>
      <w:r>
        <w:t>为例对比</w:t>
      </w:r>
      <w:r>
        <w:rPr>
          <w:rFonts w:hint="eastAsia"/>
        </w:rPr>
        <w:t>发现，</w:t>
      </w:r>
      <w:r>
        <w:t>A</w:t>
      </w:r>
      <w:r>
        <w:rPr>
          <w:vertAlign w:val="superscript"/>
        </w:rPr>
        <w:t>2</w:t>
      </w:r>
      <w:r>
        <w:t>/O</w:t>
      </w:r>
      <w:r>
        <w:t>、</w:t>
      </w:r>
      <w:r>
        <w:t>SBR</w:t>
      </w:r>
      <w:r>
        <w:t>、氧化沟等与</w:t>
      </w:r>
      <w:r>
        <w:t>MBR</w:t>
      </w:r>
      <w:r>
        <w:rPr>
          <w:rFonts w:hint="eastAsia"/>
        </w:rPr>
        <w:t>联</w:t>
      </w:r>
      <w:r>
        <w:t>用时，组合工艺总体比单一工艺能耗更高。，对比结果如表</w:t>
      </w:r>
      <w:r>
        <w:t>4-5</w:t>
      </w:r>
      <w:r>
        <w:t>所示。根据对比结果，采用了</w:t>
      </w:r>
      <w:r>
        <w:t>MBR</w:t>
      </w:r>
      <w:r>
        <w:t>工艺的企业</w:t>
      </w:r>
      <w:r>
        <w:t>A</w:t>
      </w:r>
      <w:r>
        <w:t>相比企业</w:t>
      </w:r>
      <w:r>
        <w:t>1~</w:t>
      </w:r>
      <w:r>
        <w:t>企业</w:t>
      </w:r>
      <w:r>
        <w:t>13</w:t>
      </w:r>
      <w:r>
        <w:t>的每千克总污染物去除电耗高出</w:t>
      </w:r>
      <w:r>
        <w:t>16.</w:t>
      </w:r>
      <w:r>
        <w:t>77%~70.72%</w:t>
      </w:r>
      <w:r>
        <w:t>，仅企业</w:t>
      </w:r>
      <w:r>
        <w:t>14</w:t>
      </w:r>
      <w:r>
        <w:t>的能耗高于企业</w:t>
      </w:r>
      <w:r>
        <w:t>A</w:t>
      </w:r>
      <w:r>
        <w:t>；采用了</w:t>
      </w:r>
      <w:r>
        <w:t>MBR</w:t>
      </w:r>
      <w:r>
        <w:t>工艺的企业</w:t>
      </w:r>
      <w:r>
        <w:t>B</w:t>
      </w:r>
      <w:r>
        <w:t>相比企业</w:t>
      </w:r>
      <w:r>
        <w:t>1~</w:t>
      </w:r>
      <w:r>
        <w:t>企业</w:t>
      </w:r>
      <w:r>
        <w:t>13</w:t>
      </w:r>
      <w:r>
        <w:t>的每千克总污染物去除电耗高出</w:t>
      </w:r>
      <w:r>
        <w:t>24.51%~63.93%</w:t>
      </w:r>
      <w:r>
        <w:t>，仅企业</w:t>
      </w:r>
      <w:r>
        <w:t>9</w:t>
      </w:r>
      <w:r>
        <w:t>和企业</w:t>
      </w:r>
      <w:r>
        <w:t>14</w:t>
      </w:r>
      <w:r>
        <w:t>的能耗高于企业</w:t>
      </w:r>
      <w:r>
        <w:t>B</w:t>
      </w:r>
      <w:r>
        <w:t>。</w:t>
      </w:r>
    </w:p>
    <w:p w:rsidR="008E7D53" w:rsidRDefault="0098666E">
      <w:pPr>
        <w:ind w:firstLine="480"/>
      </w:pPr>
      <w:r>
        <w:t>综上，本文件规定</w:t>
      </w:r>
      <w:r>
        <w:t>A</w:t>
      </w:r>
      <w:r>
        <w:rPr>
          <w:vertAlign w:val="superscript"/>
        </w:rPr>
        <w:t>2</w:t>
      </w:r>
      <w:r>
        <w:t>/O</w:t>
      </w:r>
      <w:r>
        <w:t>及其变形、氧化沟及其变形等工艺与</w:t>
      </w:r>
      <w:r>
        <w:t>MBR</w:t>
      </w:r>
      <w:r>
        <w:rPr>
          <w:rFonts w:hint="eastAsia"/>
        </w:rPr>
        <w:t>联</w:t>
      </w:r>
      <w:r>
        <w:t>用时，污水厂的能耗限定值和能耗先进值可</w:t>
      </w:r>
      <w:r>
        <w:rPr>
          <w:rFonts w:hint="eastAsia"/>
        </w:rPr>
        <w:t>在</w:t>
      </w:r>
      <w:r>
        <w:t>未采用</w:t>
      </w:r>
      <w:r>
        <w:t>MBR</w:t>
      </w:r>
      <w:r>
        <w:t>工艺的基础上增加</w:t>
      </w:r>
      <w:r>
        <w:t>25%</w:t>
      </w:r>
      <w:r>
        <w:t>。</w:t>
      </w:r>
    </w:p>
    <w:p w:rsidR="008E7D53" w:rsidRDefault="0098666E">
      <w:pPr>
        <w:ind w:firstLineChars="0" w:firstLine="0"/>
        <w:jc w:val="center"/>
        <w:textAlignment w:val="baseline"/>
        <w:rPr>
          <w:sz w:val="21"/>
        </w:rPr>
      </w:pPr>
      <w:r>
        <w:rPr>
          <w:rFonts w:hint="eastAsia"/>
          <w:sz w:val="21"/>
        </w:rPr>
        <w:t>表</w:t>
      </w:r>
      <w:r>
        <w:rPr>
          <w:sz w:val="21"/>
        </w:rPr>
        <w:t>4-5</w:t>
      </w:r>
      <w:r>
        <w:rPr>
          <w:rFonts w:hint="eastAsia"/>
          <w:sz w:val="21"/>
        </w:rPr>
        <w:t xml:space="preserve"> </w:t>
      </w:r>
      <w:r>
        <w:rPr>
          <w:rFonts w:hint="eastAsia"/>
          <w:sz w:val="21"/>
        </w:rPr>
        <w:t>采用</w:t>
      </w:r>
      <w:r>
        <w:rPr>
          <w:rFonts w:hint="eastAsia"/>
          <w:sz w:val="21"/>
        </w:rPr>
        <w:t>M</w:t>
      </w:r>
      <w:r>
        <w:rPr>
          <w:sz w:val="21"/>
        </w:rPr>
        <w:t>BR</w:t>
      </w:r>
      <w:r>
        <w:rPr>
          <w:rFonts w:hint="eastAsia"/>
          <w:sz w:val="21"/>
        </w:rPr>
        <w:t>工艺和未采用</w:t>
      </w:r>
      <w:r>
        <w:rPr>
          <w:rFonts w:hint="eastAsia"/>
          <w:sz w:val="21"/>
        </w:rPr>
        <w:t>M</w:t>
      </w:r>
      <w:r>
        <w:rPr>
          <w:sz w:val="21"/>
        </w:rPr>
        <w:t>BR</w:t>
      </w:r>
      <w:r>
        <w:rPr>
          <w:rFonts w:hint="eastAsia"/>
          <w:sz w:val="21"/>
        </w:rPr>
        <w:t>工艺能耗对比</w:t>
      </w:r>
    </w:p>
    <w:tbl>
      <w:tblPr>
        <w:tblW w:w="5262" w:type="pct"/>
        <w:tblInd w:w="-431" w:type="dxa"/>
        <w:tblLayout w:type="fixed"/>
        <w:tblLook w:val="04A0" w:firstRow="1" w:lastRow="0" w:firstColumn="1" w:lastColumn="0" w:noHBand="0" w:noVBand="1"/>
      </w:tblPr>
      <w:tblGrid>
        <w:gridCol w:w="992"/>
        <w:gridCol w:w="1560"/>
        <w:gridCol w:w="1291"/>
        <w:gridCol w:w="1304"/>
        <w:gridCol w:w="1795"/>
        <w:gridCol w:w="1795"/>
      </w:tblGrid>
      <w:tr w:rsidR="008E7D53">
        <w:trPr>
          <w:trHeight w:val="629"/>
        </w:trPr>
        <w:tc>
          <w:tcPr>
            <w:tcW w:w="568" w:type="pct"/>
            <w:tcBorders>
              <w:top w:val="single" w:sz="4" w:space="0" w:color="auto"/>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p>
        </w:tc>
        <w:tc>
          <w:tcPr>
            <w:tcW w:w="892"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设计处理规模（万</w:t>
            </w:r>
            <w:r>
              <w:rPr>
                <w:color w:val="000000"/>
                <w:kern w:val="0"/>
                <w:sz w:val="18"/>
                <w:szCs w:val="18"/>
              </w:rPr>
              <w:t>m</w:t>
            </w:r>
            <w:r>
              <w:rPr>
                <w:color w:val="000000"/>
                <w:kern w:val="0"/>
                <w:sz w:val="18"/>
                <w:szCs w:val="18"/>
                <w:vertAlign w:val="superscript"/>
              </w:rPr>
              <w:t>3</w:t>
            </w:r>
            <w:r>
              <w:rPr>
                <w:color w:val="000000"/>
                <w:kern w:val="0"/>
                <w:sz w:val="18"/>
                <w:szCs w:val="18"/>
              </w:rPr>
              <w:t>/d</w:t>
            </w:r>
            <w:r>
              <w:rPr>
                <w:color w:val="000000"/>
                <w:kern w:val="0"/>
                <w:sz w:val="18"/>
                <w:szCs w:val="18"/>
              </w:rPr>
              <w:t>）</w:t>
            </w:r>
          </w:p>
        </w:tc>
        <w:tc>
          <w:tcPr>
            <w:tcW w:w="739" w:type="pct"/>
            <w:tcBorders>
              <w:top w:val="single" w:sz="4" w:space="0" w:color="auto"/>
              <w:left w:val="single" w:sz="4" w:space="0" w:color="000000"/>
              <w:bottom w:val="single" w:sz="4" w:space="0" w:color="000000"/>
              <w:right w:val="single" w:sz="4" w:space="0" w:color="auto"/>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主体工艺</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每千克总污染物去除电耗</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每千克总污染物去除电耗与企业</w:t>
            </w:r>
            <w:r>
              <w:rPr>
                <w:color w:val="000000"/>
                <w:kern w:val="0"/>
                <w:sz w:val="18"/>
                <w:szCs w:val="18"/>
              </w:rPr>
              <w:t>A</w:t>
            </w:r>
            <w:r>
              <w:rPr>
                <w:color w:val="000000"/>
                <w:kern w:val="0"/>
                <w:sz w:val="18"/>
                <w:szCs w:val="18"/>
              </w:rPr>
              <w:t>相比</w:t>
            </w:r>
          </w:p>
        </w:tc>
        <w:tc>
          <w:tcPr>
            <w:tcW w:w="1026" w:type="pct"/>
            <w:tcBorders>
              <w:top w:val="single" w:sz="4" w:space="0" w:color="auto"/>
              <w:left w:val="single" w:sz="4" w:space="0" w:color="auto"/>
              <w:bottom w:val="single" w:sz="4" w:space="0" w:color="auto"/>
              <w:right w:val="single" w:sz="4" w:space="0" w:color="auto"/>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每千克总污染物去除电耗与企业</w:t>
            </w:r>
            <w:r>
              <w:rPr>
                <w:color w:val="000000"/>
                <w:kern w:val="0"/>
                <w:sz w:val="18"/>
                <w:szCs w:val="18"/>
              </w:rPr>
              <w:t>B</w:t>
            </w:r>
            <w:r>
              <w:rPr>
                <w:color w:val="000000"/>
                <w:kern w:val="0"/>
                <w:sz w:val="18"/>
                <w:szCs w:val="18"/>
              </w:rPr>
              <w:t>相比</w:t>
            </w:r>
          </w:p>
        </w:tc>
      </w:tr>
      <w:tr w:rsidR="008E7D53">
        <w:trPr>
          <w:trHeight w:val="315"/>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color w:val="000000"/>
                <w:kern w:val="0"/>
                <w:sz w:val="18"/>
                <w:szCs w:val="18"/>
              </w:rPr>
              <w:t>A</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10</w:t>
            </w:r>
          </w:p>
        </w:tc>
        <w:tc>
          <w:tcPr>
            <w:tcW w:w="739"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A</w:t>
            </w:r>
            <w:r>
              <w:rPr>
                <w:color w:val="000000"/>
                <w:kern w:val="0"/>
                <w:sz w:val="18"/>
                <w:szCs w:val="18"/>
                <w:vertAlign w:val="superscript"/>
              </w:rPr>
              <w:t>2</w:t>
            </w:r>
            <w:r>
              <w:rPr>
                <w:color w:val="000000"/>
                <w:kern w:val="0"/>
                <w:sz w:val="18"/>
                <w:szCs w:val="18"/>
              </w:rPr>
              <w:t>/O+MBR</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0.351</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w:t>
            </w:r>
          </w:p>
        </w:tc>
        <w:tc>
          <w:tcPr>
            <w:tcW w:w="1026" w:type="pct"/>
            <w:tcBorders>
              <w:top w:val="single" w:sz="4" w:space="0" w:color="auto"/>
              <w:left w:val="single" w:sz="4" w:space="0" w:color="auto"/>
              <w:bottom w:val="single" w:sz="4" w:space="0" w:color="auto"/>
              <w:right w:val="single" w:sz="4" w:space="0" w:color="auto"/>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w:t>
            </w:r>
          </w:p>
        </w:tc>
      </w:tr>
      <w:tr w:rsidR="008E7D53">
        <w:trPr>
          <w:trHeight w:val="253"/>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rFonts w:hint="eastAsia"/>
                <w:color w:val="000000"/>
                <w:kern w:val="0"/>
                <w:sz w:val="18"/>
                <w:szCs w:val="18"/>
              </w:rPr>
              <w:t>B</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10</w:t>
            </w:r>
          </w:p>
        </w:tc>
        <w:tc>
          <w:tcPr>
            <w:tcW w:w="739"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AAOA+MBR</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0.285</w:t>
            </w:r>
          </w:p>
        </w:tc>
        <w:tc>
          <w:tcPr>
            <w:tcW w:w="10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w:t>
            </w:r>
          </w:p>
        </w:tc>
        <w:tc>
          <w:tcPr>
            <w:tcW w:w="1026" w:type="pct"/>
            <w:tcBorders>
              <w:top w:val="single" w:sz="4" w:space="0" w:color="auto"/>
              <w:left w:val="single" w:sz="4" w:space="0" w:color="auto"/>
              <w:bottom w:val="single" w:sz="4" w:space="0" w:color="auto"/>
              <w:right w:val="single" w:sz="4" w:space="0" w:color="auto"/>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w:t>
            </w:r>
          </w:p>
        </w:tc>
      </w:tr>
      <w:tr w:rsidR="008E7D53">
        <w:trPr>
          <w:trHeight w:val="319"/>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color w:val="000000"/>
                <w:kern w:val="0"/>
                <w:sz w:val="18"/>
                <w:szCs w:val="18"/>
              </w:rPr>
              <w:t>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19.6</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0.171</w:t>
            </w:r>
          </w:p>
        </w:tc>
        <w:tc>
          <w:tcPr>
            <w:tcW w:w="1026"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-51.42%</w:t>
            </w:r>
          </w:p>
        </w:tc>
        <w:tc>
          <w:tcPr>
            <w:tcW w:w="1026" w:type="pct"/>
            <w:tcBorders>
              <w:top w:val="single" w:sz="4" w:space="0" w:color="auto"/>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-40.15%</w:t>
            </w:r>
          </w:p>
        </w:tc>
      </w:tr>
      <w:tr w:rsidR="008E7D53">
        <w:trPr>
          <w:trHeight w:val="256"/>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rFonts w:hint="eastAsia"/>
                <w:color w:val="000000"/>
                <w:kern w:val="0"/>
                <w:sz w:val="18"/>
                <w:szCs w:val="18"/>
              </w:rPr>
              <w:t>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18</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0.162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-54.04%</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-43.38%</w:t>
            </w:r>
          </w:p>
        </w:tc>
      </w:tr>
      <w:tr w:rsidR="008E7D53">
        <w:trPr>
          <w:trHeight w:val="263"/>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bCs/>
                <w:color w:val="000000"/>
                <w:kern w:val="0"/>
                <w:sz w:val="18"/>
                <w:szCs w:val="18"/>
              </w:rPr>
            </w:pPr>
            <w:r>
              <w:rPr>
                <w:bCs/>
                <w:color w:val="000000"/>
                <w:kern w:val="0"/>
                <w:sz w:val="18"/>
                <w:szCs w:val="18"/>
              </w:rPr>
              <w:t>企业</w:t>
            </w:r>
            <w:r>
              <w:rPr>
                <w:rFonts w:hint="eastAsia"/>
                <w:bCs/>
                <w:color w:val="000000"/>
                <w:kern w:val="0"/>
                <w:sz w:val="18"/>
                <w:szCs w:val="18"/>
              </w:rPr>
              <w:t>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bCs/>
                <w:color w:val="000000"/>
                <w:kern w:val="0"/>
                <w:sz w:val="18"/>
                <w:szCs w:val="18"/>
              </w:rPr>
            </w:pPr>
            <w:r>
              <w:rPr>
                <w:bCs/>
                <w:color w:val="000000"/>
                <w:kern w:val="0"/>
                <w:sz w:val="18"/>
                <w:szCs w:val="18"/>
              </w:rPr>
              <w:t>16.5</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0.215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-38.72%</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-24.51%</w:t>
            </w:r>
          </w:p>
        </w:tc>
      </w:tr>
      <w:tr w:rsidR="008E7D53">
        <w:trPr>
          <w:trHeight w:val="279"/>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bCs/>
                <w:color w:val="000000"/>
                <w:kern w:val="0"/>
                <w:sz w:val="18"/>
                <w:szCs w:val="18"/>
              </w:rPr>
            </w:pPr>
            <w:r>
              <w:rPr>
                <w:bCs/>
                <w:color w:val="000000"/>
                <w:kern w:val="0"/>
                <w:sz w:val="18"/>
                <w:szCs w:val="18"/>
              </w:rPr>
              <w:t>企业</w:t>
            </w:r>
            <w:r>
              <w:rPr>
                <w:rFonts w:hint="eastAsia"/>
                <w:bCs/>
                <w:color w:val="000000"/>
                <w:kern w:val="0"/>
                <w:sz w:val="18"/>
                <w:szCs w:val="18"/>
              </w:rPr>
              <w:t>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bCs/>
                <w:color w:val="000000"/>
                <w:kern w:val="0"/>
                <w:sz w:val="18"/>
                <w:szCs w:val="18"/>
              </w:rPr>
            </w:pPr>
            <w:r>
              <w:rPr>
                <w:bCs/>
                <w:color w:val="000000"/>
                <w:kern w:val="0"/>
                <w:sz w:val="18"/>
                <w:szCs w:val="18"/>
              </w:rPr>
              <w:t>16</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0.108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-69.15%</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-62.00%</w:t>
            </w:r>
          </w:p>
        </w:tc>
      </w:tr>
      <w:tr w:rsidR="008E7D53">
        <w:trPr>
          <w:trHeight w:val="357"/>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rFonts w:hint="eastAsia"/>
                <w:color w:val="000000"/>
                <w:kern w:val="0"/>
                <w:sz w:val="18"/>
                <w:szCs w:val="18"/>
              </w:rPr>
              <w:t>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15</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0.173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-50.83%</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-39.43%</w:t>
            </w:r>
          </w:p>
        </w:tc>
      </w:tr>
      <w:tr w:rsidR="008E7D53">
        <w:trPr>
          <w:trHeight w:val="263"/>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rFonts w:hint="eastAsia"/>
                <w:color w:val="000000"/>
                <w:kern w:val="0"/>
                <w:sz w:val="18"/>
                <w:szCs w:val="18"/>
              </w:rPr>
              <w:t>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15</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0.158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-55.04%</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-44.61%</w:t>
            </w:r>
          </w:p>
        </w:tc>
      </w:tr>
      <w:tr w:rsidR="008E7D53">
        <w:trPr>
          <w:trHeight w:val="281"/>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rFonts w:hint="eastAsia"/>
                <w:color w:val="000000"/>
                <w:kern w:val="0"/>
                <w:sz w:val="18"/>
                <w:szCs w:val="18"/>
              </w:rPr>
              <w:t>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15</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0.167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-52.34%</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-41.28%</w:t>
            </w:r>
          </w:p>
        </w:tc>
      </w:tr>
      <w:tr w:rsidR="008E7D53">
        <w:trPr>
          <w:trHeight w:val="315"/>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bCs/>
                <w:color w:val="000000"/>
                <w:kern w:val="0"/>
                <w:sz w:val="18"/>
                <w:szCs w:val="18"/>
              </w:rPr>
            </w:pPr>
            <w:r>
              <w:rPr>
                <w:bCs/>
                <w:color w:val="000000"/>
                <w:kern w:val="0"/>
                <w:sz w:val="18"/>
                <w:szCs w:val="18"/>
              </w:rPr>
              <w:t>企业</w:t>
            </w:r>
            <w:r>
              <w:rPr>
                <w:rFonts w:hint="eastAsia"/>
                <w:bCs/>
                <w:color w:val="000000"/>
                <w:kern w:val="0"/>
                <w:sz w:val="18"/>
                <w:szCs w:val="18"/>
              </w:rPr>
              <w:t>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bCs/>
                <w:color w:val="000000"/>
                <w:kern w:val="0"/>
                <w:sz w:val="18"/>
                <w:szCs w:val="18"/>
              </w:rPr>
            </w:pPr>
            <w:r>
              <w:rPr>
                <w:bCs/>
                <w:color w:val="000000"/>
                <w:kern w:val="0"/>
                <w:sz w:val="18"/>
                <w:szCs w:val="18"/>
              </w:rPr>
              <w:t>15</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0.103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-70.72%</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-63.93%</w:t>
            </w:r>
          </w:p>
        </w:tc>
      </w:tr>
      <w:tr w:rsidR="008E7D53">
        <w:trPr>
          <w:trHeight w:val="276"/>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rFonts w:hint="eastAsia"/>
                <w:color w:val="000000"/>
                <w:kern w:val="0"/>
                <w:sz w:val="18"/>
                <w:szCs w:val="18"/>
              </w:rPr>
              <w:t>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11</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0.293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-16.77%</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+2.55%</w:t>
            </w:r>
          </w:p>
        </w:tc>
      </w:tr>
      <w:tr w:rsidR="008E7D53">
        <w:trPr>
          <w:trHeight w:val="267"/>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rFonts w:hint="eastAsia"/>
                <w:color w:val="000000"/>
                <w:kern w:val="0"/>
                <w:sz w:val="18"/>
                <w:szCs w:val="18"/>
              </w:rPr>
              <w:t>1</w:t>
            </w:r>
            <w:r>
              <w:rPr>
                <w:color w:val="000000"/>
                <w:kern w:val="0"/>
                <w:sz w:val="18"/>
                <w:szCs w:val="18"/>
              </w:rPr>
              <w:t>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10</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0.209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40.61%</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-26.83%</w:t>
            </w:r>
          </w:p>
        </w:tc>
      </w:tr>
      <w:tr w:rsidR="008E7D53">
        <w:trPr>
          <w:trHeight w:val="285"/>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rFonts w:hint="eastAsia"/>
                <w:color w:val="000000"/>
                <w:kern w:val="0"/>
                <w:sz w:val="18"/>
                <w:szCs w:val="18"/>
              </w:rPr>
              <w:t>1</w:t>
            </w:r>
            <w:r>
              <w:rPr>
                <w:color w:val="000000"/>
                <w:kern w:val="0"/>
                <w:sz w:val="18"/>
                <w:szCs w:val="18"/>
              </w:rPr>
              <w:t>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10</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0.147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-58.29%</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-48.62%</w:t>
            </w:r>
          </w:p>
        </w:tc>
      </w:tr>
      <w:tr w:rsidR="008E7D53">
        <w:trPr>
          <w:trHeight w:val="261"/>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bCs/>
                <w:color w:val="000000"/>
                <w:kern w:val="0"/>
                <w:sz w:val="18"/>
                <w:szCs w:val="18"/>
              </w:rPr>
            </w:pPr>
            <w:r>
              <w:rPr>
                <w:bCs/>
                <w:color w:val="000000"/>
                <w:kern w:val="0"/>
                <w:sz w:val="18"/>
                <w:szCs w:val="18"/>
              </w:rPr>
              <w:t>企业</w:t>
            </w:r>
            <w:r>
              <w:rPr>
                <w:rFonts w:hint="eastAsia"/>
                <w:bCs/>
                <w:color w:val="000000"/>
                <w:kern w:val="0"/>
                <w:sz w:val="18"/>
                <w:szCs w:val="18"/>
              </w:rPr>
              <w:t>1</w:t>
            </w:r>
            <w:r>
              <w:rPr>
                <w:bCs/>
                <w:color w:val="000000"/>
                <w:kern w:val="0"/>
                <w:sz w:val="18"/>
                <w:szCs w:val="18"/>
              </w:rPr>
              <w:t>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bCs/>
                <w:color w:val="000000"/>
                <w:kern w:val="0"/>
                <w:sz w:val="18"/>
                <w:szCs w:val="18"/>
              </w:rPr>
            </w:pPr>
            <w:r>
              <w:rPr>
                <w:bCs/>
                <w:color w:val="000000"/>
                <w:kern w:val="0"/>
                <w:sz w:val="18"/>
                <w:szCs w:val="18"/>
              </w:rPr>
              <w:t>10</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0.199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-43.44%</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-30.32%</w:t>
            </w:r>
          </w:p>
        </w:tc>
      </w:tr>
      <w:tr w:rsidR="008E7D53">
        <w:trPr>
          <w:trHeight w:val="269"/>
        </w:trPr>
        <w:tc>
          <w:tcPr>
            <w:tcW w:w="568"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bCs/>
                <w:color w:val="000000"/>
                <w:kern w:val="0"/>
                <w:sz w:val="18"/>
                <w:szCs w:val="18"/>
              </w:rPr>
            </w:pPr>
            <w:r>
              <w:rPr>
                <w:bCs/>
                <w:color w:val="000000"/>
                <w:kern w:val="0"/>
                <w:sz w:val="18"/>
                <w:szCs w:val="18"/>
              </w:rPr>
              <w:t>企业</w:t>
            </w:r>
            <w:r>
              <w:rPr>
                <w:rFonts w:hint="eastAsia"/>
                <w:bCs/>
                <w:color w:val="000000"/>
                <w:kern w:val="0"/>
                <w:sz w:val="18"/>
                <w:szCs w:val="18"/>
              </w:rPr>
              <w:t>1</w:t>
            </w:r>
            <w:r>
              <w:rPr>
                <w:bCs/>
                <w:color w:val="000000"/>
                <w:kern w:val="0"/>
                <w:sz w:val="18"/>
                <w:szCs w:val="18"/>
              </w:rPr>
              <w:t>3</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7D53" w:rsidRDefault="0098666E">
            <w:pPr>
              <w:widowControl/>
              <w:adjustRightInd w:val="0"/>
              <w:snapToGrid w:val="0"/>
              <w:spacing w:line="240" w:lineRule="auto"/>
              <w:ind w:firstLineChars="0" w:firstLine="0"/>
              <w:jc w:val="center"/>
              <w:rPr>
                <w:bCs/>
                <w:color w:val="000000"/>
                <w:kern w:val="0"/>
                <w:sz w:val="18"/>
                <w:szCs w:val="18"/>
              </w:rPr>
            </w:pPr>
            <w:r>
              <w:rPr>
                <w:bCs/>
                <w:color w:val="000000"/>
                <w:kern w:val="0"/>
                <w:sz w:val="18"/>
                <w:szCs w:val="18"/>
              </w:rPr>
              <w:t>10</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0.149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-57.50%</w:t>
            </w:r>
          </w:p>
        </w:tc>
        <w:tc>
          <w:tcPr>
            <w:tcW w:w="1026" w:type="pct"/>
            <w:tcBorders>
              <w:top w:val="single" w:sz="4" w:space="0" w:color="000000"/>
              <w:left w:val="single" w:sz="4" w:space="0" w:color="000000"/>
              <w:bottom w:val="single" w:sz="4" w:space="0" w:color="000000"/>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sz w:val="18"/>
                <w:szCs w:val="18"/>
              </w:rPr>
              <w:t>-47.64%</w:t>
            </w:r>
          </w:p>
        </w:tc>
      </w:tr>
      <w:tr w:rsidR="008E7D53">
        <w:trPr>
          <w:trHeight w:val="547"/>
        </w:trPr>
        <w:tc>
          <w:tcPr>
            <w:tcW w:w="568" w:type="pct"/>
            <w:tcBorders>
              <w:top w:val="single" w:sz="4" w:space="0" w:color="000000"/>
              <w:left w:val="single" w:sz="4" w:space="0" w:color="000000"/>
              <w:bottom w:val="single" w:sz="4" w:space="0" w:color="auto"/>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企业</w:t>
            </w:r>
            <w:r>
              <w:rPr>
                <w:rFonts w:hint="eastAsia"/>
                <w:color w:val="000000"/>
                <w:kern w:val="0"/>
                <w:sz w:val="18"/>
                <w:szCs w:val="18"/>
              </w:rPr>
              <w:t>1</w:t>
            </w:r>
            <w:r>
              <w:rPr>
                <w:color w:val="000000"/>
                <w:kern w:val="0"/>
                <w:sz w:val="18"/>
                <w:szCs w:val="18"/>
              </w:rPr>
              <w:t>4</w:t>
            </w:r>
          </w:p>
        </w:tc>
        <w:tc>
          <w:tcPr>
            <w:tcW w:w="89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10</w:t>
            </w:r>
          </w:p>
        </w:tc>
        <w:tc>
          <w:tcPr>
            <w:tcW w:w="739"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sz w:val="18"/>
                <w:szCs w:val="18"/>
              </w:rPr>
              <w:t>A</w:t>
            </w:r>
            <w:r>
              <w:rPr>
                <w:sz w:val="18"/>
                <w:szCs w:val="18"/>
                <w:vertAlign w:val="superscript"/>
              </w:rPr>
              <w:t>2</w:t>
            </w:r>
            <w:r>
              <w:rPr>
                <w:sz w:val="18"/>
                <w:szCs w:val="18"/>
              </w:rPr>
              <w:t>/O</w:t>
            </w:r>
          </w:p>
        </w:tc>
        <w:tc>
          <w:tcPr>
            <w:tcW w:w="746"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kern w:val="0"/>
                <w:sz w:val="18"/>
                <w:szCs w:val="18"/>
              </w:rPr>
            </w:pPr>
            <w:r>
              <w:rPr>
                <w:color w:val="000000"/>
                <w:kern w:val="0"/>
                <w:sz w:val="18"/>
                <w:szCs w:val="18"/>
              </w:rPr>
              <w:t>0.420</w:t>
            </w:r>
          </w:p>
        </w:tc>
        <w:tc>
          <w:tcPr>
            <w:tcW w:w="1026"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8E7D53" w:rsidRDefault="0098666E">
            <w:pPr>
              <w:widowControl/>
              <w:adjustRightInd w:val="0"/>
              <w:snapToGrid w:val="0"/>
              <w:spacing w:line="240" w:lineRule="auto"/>
              <w:ind w:firstLineChars="0" w:firstLine="0"/>
              <w:jc w:val="center"/>
              <w:rPr>
                <w:color w:val="000000"/>
                <w:sz w:val="18"/>
                <w:szCs w:val="18"/>
              </w:rPr>
            </w:pPr>
            <w:r>
              <w:rPr>
                <w:color w:val="000000"/>
                <w:sz w:val="18"/>
                <w:szCs w:val="18"/>
              </w:rPr>
              <w:t>+19.38%</w:t>
            </w:r>
          </w:p>
        </w:tc>
        <w:tc>
          <w:tcPr>
            <w:tcW w:w="1026" w:type="pct"/>
            <w:tcBorders>
              <w:top w:val="single" w:sz="4" w:space="0" w:color="000000"/>
              <w:left w:val="single" w:sz="4" w:space="0" w:color="000000"/>
              <w:bottom w:val="single" w:sz="4" w:space="0" w:color="auto"/>
              <w:right w:val="single" w:sz="4" w:space="0" w:color="000000"/>
            </w:tcBorders>
            <w:vAlign w:val="center"/>
          </w:tcPr>
          <w:p w:rsidR="008E7D53" w:rsidRDefault="0098666E">
            <w:pPr>
              <w:widowControl/>
              <w:adjustRightInd w:val="0"/>
              <w:snapToGrid w:val="0"/>
              <w:spacing w:line="240" w:lineRule="auto"/>
              <w:ind w:firstLineChars="0" w:firstLine="0"/>
              <w:jc w:val="center"/>
              <w:rPr>
                <w:color w:val="000000"/>
                <w:sz w:val="18"/>
                <w:szCs w:val="18"/>
              </w:rPr>
            </w:pPr>
            <w:r>
              <w:rPr>
                <w:color w:val="000000"/>
                <w:sz w:val="18"/>
                <w:szCs w:val="18"/>
              </w:rPr>
              <w:t>+47.08%</w:t>
            </w:r>
          </w:p>
        </w:tc>
      </w:tr>
    </w:tbl>
    <w:p w:rsidR="008E7D53" w:rsidRDefault="008E7D53">
      <w:pPr>
        <w:ind w:firstLine="480"/>
        <w:textAlignment w:val="baseline"/>
      </w:pPr>
    </w:p>
    <w:p w:rsidR="008E7D53" w:rsidRDefault="0098666E">
      <w:pPr>
        <w:ind w:firstLine="480"/>
        <w:textAlignment w:val="baseline"/>
      </w:pPr>
      <w:r>
        <w:rPr>
          <w:rFonts w:hint="eastAsia"/>
        </w:rPr>
        <w:t>根据《厌氧</w:t>
      </w:r>
      <w:r>
        <w:rPr>
          <w:rFonts w:hint="eastAsia"/>
        </w:rPr>
        <w:t>-</w:t>
      </w:r>
      <w:r>
        <w:rPr>
          <w:rFonts w:hint="eastAsia"/>
        </w:rPr>
        <w:t>缺氧</w:t>
      </w:r>
      <w:r>
        <w:rPr>
          <w:rFonts w:hint="eastAsia"/>
        </w:rPr>
        <w:t>-</w:t>
      </w:r>
      <w:r>
        <w:rPr>
          <w:rFonts w:hint="eastAsia"/>
        </w:rPr>
        <w:t>好氧活性污泥法污水处理工程技术规范》（</w:t>
      </w:r>
      <w:r>
        <w:rPr>
          <w:rFonts w:hint="eastAsia"/>
        </w:rPr>
        <w:t>H</w:t>
      </w:r>
      <w:r>
        <w:t>J 576</w:t>
      </w:r>
      <w:r>
        <w:rPr>
          <w:rFonts w:hint="eastAsia"/>
        </w:rPr>
        <w:t>-</w:t>
      </w:r>
      <w:r>
        <w:t>2010</w:t>
      </w:r>
      <w:r>
        <w:rPr>
          <w:rFonts w:hint="eastAsia"/>
        </w:rPr>
        <w:t>），</w:t>
      </w:r>
      <w:r>
        <w:rPr>
          <w:rFonts w:hint="eastAsia"/>
        </w:rPr>
        <w:lastRenderedPageBreak/>
        <w:t>本文件所指的</w:t>
      </w:r>
      <w:r>
        <w:t>A</w:t>
      </w:r>
      <w:r>
        <w:rPr>
          <w:vertAlign w:val="superscript"/>
        </w:rPr>
        <w:t>2</w:t>
      </w:r>
      <w:r>
        <w:t>/O</w:t>
      </w:r>
      <w:r>
        <w:rPr>
          <w:rFonts w:hint="eastAsia"/>
        </w:rPr>
        <w:t>工艺为厌氧</w:t>
      </w:r>
      <w:r>
        <w:rPr>
          <w:rFonts w:hint="eastAsia"/>
        </w:rPr>
        <w:t>-</w:t>
      </w:r>
      <w:r>
        <w:rPr>
          <w:rFonts w:hint="eastAsia"/>
        </w:rPr>
        <w:t>缺氧</w:t>
      </w:r>
      <w:r>
        <w:rPr>
          <w:rFonts w:hint="eastAsia"/>
        </w:rPr>
        <w:t>-</w:t>
      </w:r>
      <w:r>
        <w:rPr>
          <w:rFonts w:hint="eastAsia"/>
        </w:rPr>
        <w:t>好氧活性污泥法；其变形工艺包括改良厌氧</w:t>
      </w:r>
      <w:r>
        <w:rPr>
          <w:rFonts w:hint="eastAsia"/>
        </w:rPr>
        <w:t>-</w:t>
      </w:r>
      <w:r>
        <w:rPr>
          <w:rFonts w:hint="eastAsia"/>
        </w:rPr>
        <w:t>缺氧</w:t>
      </w:r>
      <w:r>
        <w:rPr>
          <w:rFonts w:hint="eastAsia"/>
        </w:rPr>
        <w:t>-</w:t>
      </w:r>
      <w:r>
        <w:rPr>
          <w:rFonts w:hint="eastAsia"/>
        </w:rPr>
        <w:t>好氧活性污泥法、厌氧</w:t>
      </w:r>
      <w:r>
        <w:rPr>
          <w:rFonts w:hint="eastAsia"/>
        </w:rPr>
        <w:t>-</w:t>
      </w:r>
      <w:r>
        <w:rPr>
          <w:rFonts w:hint="eastAsia"/>
        </w:rPr>
        <w:t>缺氧</w:t>
      </w:r>
      <w:r>
        <w:rPr>
          <w:rFonts w:hint="eastAsia"/>
        </w:rPr>
        <w:t>-</w:t>
      </w:r>
      <w:r>
        <w:rPr>
          <w:rFonts w:hint="eastAsia"/>
        </w:rPr>
        <w:t>缺氧</w:t>
      </w:r>
      <w:r>
        <w:rPr>
          <w:rFonts w:hint="eastAsia"/>
        </w:rPr>
        <w:t>-</w:t>
      </w:r>
      <w:r>
        <w:rPr>
          <w:rFonts w:hint="eastAsia"/>
        </w:rPr>
        <w:t>好氧活性污泥法、缺氧</w:t>
      </w:r>
      <w:r>
        <w:rPr>
          <w:rFonts w:hint="eastAsia"/>
        </w:rPr>
        <w:t>-</w:t>
      </w:r>
      <w:r>
        <w:rPr>
          <w:rFonts w:hint="eastAsia"/>
        </w:rPr>
        <w:t>厌氧</w:t>
      </w:r>
      <w:r>
        <w:rPr>
          <w:rFonts w:hint="eastAsia"/>
        </w:rPr>
        <w:t>-</w:t>
      </w:r>
      <w:r>
        <w:rPr>
          <w:rFonts w:hint="eastAsia"/>
        </w:rPr>
        <w:t>缺氧</w:t>
      </w:r>
      <w:r>
        <w:rPr>
          <w:rFonts w:hint="eastAsia"/>
        </w:rPr>
        <w:t>-</w:t>
      </w:r>
      <w:r>
        <w:rPr>
          <w:rFonts w:hint="eastAsia"/>
        </w:rPr>
        <w:t>好氧活性污泥法等相关污水处理工艺。</w:t>
      </w:r>
    </w:p>
    <w:p w:rsidR="008E7D53" w:rsidRDefault="0098666E">
      <w:pPr>
        <w:ind w:firstLine="480"/>
        <w:textAlignment w:val="baseline"/>
      </w:pPr>
      <w:r>
        <w:rPr>
          <w:rFonts w:hint="eastAsia"/>
        </w:rPr>
        <w:t>根据《氧化沟活性污泥法污水处理工程技术规范》（</w:t>
      </w:r>
      <w:r>
        <w:rPr>
          <w:rFonts w:hint="eastAsia"/>
        </w:rPr>
        <w:t>H</w:t>
      </w:r>
      <w:r>
        <w:t>J 578</w:t>
      </w:r>
      <w:r>
        <w:rPr>
          <w:rFonts w:hint="eastAsia"/>
        </w:rPr>
        <w:t>-</w:t>
      </w:r>
      <w:r>
        <w:t>2010</w:t>
      </w:r>
      <w:r>
        <w:rPr>
          <w:rFonts w:hint="eastAsia"/>
        </w:rPr>
        <w:t>），本文件所指的氧化沟工艺包括单槽氧化沟、双槽氧化沟、三槽氧化沟、竖轴表曝机氧化沟和同心圆向心流氧化沟；其变形工艺包括一体氧化沟、微孔曝气氧化沟等几种工艺。</w:t>
      </w:r>
    </w:p>
    <w:p w:rsidR="008E7D53" w:rsidRDefault="0098666E">
      <w:pPr>
        <w:ind w:firstLine="480"/>
        <w:textAlignment w:val="baseline"/>
      </w:pPr>
      <w:r>
        <w:rPr>
          <w:rFonts w:hint="eastAsia"/>
        </w:rPr>
        <w:t>本文件中的</w:t>
      </w:r>
      <w:r>
        <w:t>A/O</w:t>
      </w:r>
      <w:r>
        <w:rPr>
          <w:rFonts w:hint="eastAsia"/>
        </w:rPr>
        <w:t>工艺为以厌氧</w:t>
      </w:r>
      <w:r>
        <w:t>-</w:t>
      </w:r>
      <w:r>
        <w:rPr>
          <w:rFonts w:hint="eastAsia"/>
        </w:rPr>
        <w:t>好氧为主的活性污泥法处理工艺，其变形工艺包括多级</w:t>
      </w:r>
      <w:r>
        <w:t>AO</w:t>
      </w:r>
      <w:r>
        <w:rPr>
          <w:rFonts w:hint="eastAsia"/>
        </w:rPr>
        <w:t>、百乐克等。</w:t>
      </w:r>
    </w:p>
    <w:p w:rsidR="008E7D53" w:rsidRDefault="0098666E">
      <w:pPr>
        <w:ind w:firstLine="480"/>
        <w:textAlignment w:val="baseline"/>
        <w:rPr>
          <w:szCs w:val="24"/>
        </w:rPr>
      </w:pPr>
      <w:r>
        <w:rPr>
          <w:rFonts w:hint="eastAsia"/>
        </w:rPr>
        <w:t>根据《序批式活性污泥法污水处理工程技术规范》（</w:t>
      </w:r>
      <w:r>
        <w:rPr>
          <w:rFonts w:hint="eastAsia"/>
        </w:rPr>
        <w:t>H</w:t>
      </w:r>
      <w:r>
        <w:t>J 577</w:t>
      </w:r>
      <w:r>
        <w:rPr>
          <w:rFonts w:hint="eastAsia"/>
        </w:rPr>
        <w:t>-</w:t>
      </w:r>
      <w:r>
        <w:t>2010</w:t>
      </w:r>
      <w:r>
        <w:rPr>
          <w:rFonts w:hint="eastAsia"/>
        </w:rPr>
        <w:t>），本文件所指</w:t>
      </w:r>
      <w:r>
        <w:rPr>
          <w:rFonts w:hint="eastAsia"/>
        </w:rPr>
        <w:t>SB</w:t>
      </w:r>
      <w:r>
        <w:t>R</w:t>
      </w:r>
      <w:r>
        <w:rPr>
          <w:rFonts w:hint="eastAsia"/>
        </w:rPr>
        <w:t>工艺为序批式活性污泥法；</w:t>
      </w:r>
      <w:r>
        <w:rPr>
          <w:rFonts w:ascii="宋体" w:hAnsi="宋体" w:hint="eastAsia"/>
          <w:szCs w:val="24"/>
        </w:rPr>
        <w:t>其</w:t>
      </w:r>
      <w:r>
        <w:rPr>
          <w:rFonts w:ascii="宋体" w:hAnsi="宋体"/>
          <w:szCs w:val="24"/>
        </w:rPr>
        <w:t>变形工</w:t>
      </w:r>
      <w:r>
        <w:rPr>
          <w:szCs w:val="24"/>
        </w:rPr>
        <w:t>艺</w:t>
      </w:r>
      <w:r>
        <w:rPr>
          <w:rFonts w:hint="eastAsia"/>
          <w:szCs w:val="24"/>
        </w:rPr>
        <w:t>包括</w:t>
      </w:r>
      <w:r>
        <w:rPr>
          <w:szCs w:val="24"/>
        </w:rPr>
        <w:t>循环式活性污泥工艺</w:t>
      </w:r>
      <w:r>
        <w:rPr>
          <w:szCs w:val="24"/>
        </w:rPr>
        <w:t>(CASS</w:t>
      </w:r>
      <w:r>
        <w:rPr>
          <w:szCs w:val="24"/>
        </w:rPr>
        <w:t>或</w:t>
      </w:r>
      <w:r>
        <w:rPr>
          <w:szCs w:val="24"/>
        </w:rPr>
        <w:t>CAST</w:t>
      </w:r>
      <w:r>
        <w:rPr>
          <w:szCs w:val="24"/>
        </w:rPr>
        <w:t>工艺</w:t>
      </w:r>
      <w:r>
        <w:rPr>
          <w:szCs w:val="24"/>
        </w:rPr>
        <w:t>)</w:t>
      </w:r>
      <w:r>
        <w:rPr>
          <w:szCs w:val="24"/>
        </w:rPr>
        <w:t>、连续和</w:t>
      </w:r>
      <w:r>
        <w:rPr>
          <w:rFonts w:hint="eastAsia"/>
          <w:szCs w:val="24"/>
        </w:rPr>
        <w:t>间歇曝气工艺（</w:t>
      </w:r>
      <w:r>
        <w:rPr>
          <w:szCs w:val="24"/>
        </w:rPr>
        <w:t>DAT-IAT</w:t>
      </w:r>
      <w:r>
        <w:rPr>
          <w:szCs w:val="24"/>
        </w:rPr>
        <w:t>工艺）、交替式内循环活性污泥工艺（</w:t>
      </w:r>
      <w:r>
        <w:rPr>
          <w:szCs w:val="24"/>
        </w:rPr>
        <w:t>AICS</w:t>
      </w:r>
      <w:r>
        <w:rPr>
          <w:szCs w:val="24"/>
        </w:rPr>
        <w:t>工艺）等</w:t>
      </w:r>
      <w:r>
        <w:rPr>
          <w:rFonts w:hint="eastAsia"/>
          <w:szCs w:val="24"/>
        </w:rPr>
        <w:t>。</w:t>
      </w:r>
    </w:p>
    <w:p w:rsidR="008E7D53" w:rsidRDefault="0098666E">
      <w:pPr>
        <w:ind w:firstLine="480"/>
        <w:textAlignment w:val="baseline"/>
        <w:rPr>
          <w:szCs w:val="24"/>
        </w:rPr>
      </w:pPr>
      <w:r>
        <w:rPr>
          <w:rFonts w:hint="eastAsia"/>
          <w:szCs w:val="24"/>
        </w:rPr>
        <w:t>本文件中生物膜法包括生物滤池、生物转盘、生物接触氧化法和生物流化床等工艺。</w:t>
      </w:r>
    </w:p>
    <w:p w:rsidR="008E7D53" w:rsidRDefault="0098666E">
      <w:pPr>
        <w:ind w:firstLineChars="0" w:firstLine="0"/>
        <w:textAlignment w:val="baseline"/>
        <w:rPr>
          <w:b/>
        </w:rPr>
      </w:pPr>
      <w:r>
        <w:rPr>
          <w:b/>
        </w:rPr>
        <w:t xml:space="preserve">4.7.4 </w:t>
      </w:r>
      <w:r>
        <w:rPr>
          <w:rFonts w:hint="eastAsia"/>
          <w:b/>
        </w:rPr>
        <w:t>案例验证</w:t>
      </w:r>
    </w:p>
    <w:p w:rsidR="008E7D53" w:rsidRDefault="0098666E">
      <w:pPr>
        <w:pStyle w:val="affe"/>
        <w:numPr>
          <w:ilvl w:val="0"/>
          <w:numId w:val="8"/>
        </w:numPr>
        <w:ind w:left="0" w:firstLine="480"/>
        <w:textAlignment w:val="baseline"/>
        <w:rPr>
          <w:szCs w:val="24"/>
        </w:rPr>
      </w:pPr>
      <w:r>
        <w:rPr>
          <w:rFonts w:hint="eastAsia"/>
          <w:szCs w:val="24"/>
        </w:rPr>
        <w:t>昆山某城镇污水处理厂：其设计规模为</w:t>
      </w:r>
      <w:r>
        <w:rPr>
          <w:szCs w:val="24"/>
        </w:rPr>
        <w:t>5</w:t>
      </w:r>
      <w:r>
        <w:rPr>
          <w:rFonts w:hint="eastAsia"/>
          <w:szCs w:val="24"/>
        </w:rPr>
        <w:t>万吨</w:t>
      </w:r>
      <w:r>
        <w:rPr>
          <w:rFonts w:hint="eastAsia"/>
          <w:szCs w:val="24"/>
        </w:rPr>
        <w:t>/</w:t>
      </w:r>
      <w:r>
        <w:rPr>
          <w:rFonts w:hint="eastAsia"/>
          <w:szCs w:val="24"/>
        </w:rPr>
        <w:t>天，实际处理量为</w:t>
      </w:r>
      <w:r>
        <w:rPr>
          <w:szCs w:val="24"/>
        </w:rPr>
        <w:t>5.26</w:t>
      </w:r>
      <w:r>
        <w:rPr>
          <w:rFonts w:hint="eastAsia"/>
          <w:szCs w:val="24"/>
        </w:rPr>
        <w:t>万吨</w:t>
      </w:r>
      <w:r>
        <w:rPr>
          <w:rFonts w:hint="eastAsia"/>
          <w:szCs w:val="24"/>
        </w:rPr>
        <w:t>/</w:t>
      </w:r>
      <w:r>
        <w:rPr>
          <w:rFonts w:hint="eastAsia"/>
          <w:szCs w:val="24"/>
        </w:rPr>
        <w:t>天。其采用的处理工艺为氧化沟（后增加可提升曝气）</w:t>
      </w:r>
      <w:r>
        <w:rPr>
          <w:rFonts w:hint="eastAsia"/>
          <w:szCs w:val="24"/>
        </w:rPr>
        <w:t>+</w:t>
      </w:r>
      <w:r>
        <w:rPr>
          <w:rFonts w:hint="eastAsia"/>
          <w:szCs w:val="24"/>
        </w:rPr>
        <w:t>砂滤，处理流程为：粗格栅</w:t>
      </w:r>
      <w:r>
        <w:rPr>
          <w:rFonts w:hint="eastAsia"/>
          <w:szCs w:val="24"/>
        </w:rPr>
        <w:t>-</w:t>
      </w:r>
      <w:r>
        <w:rPr>
          <w:rFonts w:hint="eastAsia"/>
          <w:szCs w:val="24"/>
        </w:rPr>
        <w:t>进水提升泵房</w:t>
      </w:r>
      <w:r>
        <w:rPr>
          <w:rFonts w:hint="eastAsia"/>
          <w:szCs w:val="24"/>
        </w:rPr>
        <w:t>-</w:t>
      </w:r>
      <w:r>
        <w:rPr>
          <w:rFonts w:hint="eastAsia"/>
          <w:szCs w:val="24"/>
        </w:rPr>
        <w:t>细格栅</w:t>
      </w:r>
      <w:r>
        <w:rPr>
          <w:rFonts w:hint="eastAsia"/>
          <w:szCs w:val="24"/>
        </w:rPr>
        <w:t>-</w:t>
      </w:r>
      <w:r>
        <w:rPr>
          <w:rFonts w:hint="eastAsia"/>
          <w:szCs w:val="24"/>
        </w:rPr>
        <w:t>旋流沉砂池</w:t>
      </w:r>
      <w:r>
        <w:rPr>
          <w:rFonts w:hint="eastAsia"/>
          <w:szCs w:val="24"/>
        </w:rPr>
        <w:t>-</w:t>
      </w:r>
      <w:r>
        <w:rPr>
          <w:rFonts w:hint="eastAsia"/>
          <w:szCs w:val="24"/>
        </w:rPr>
        <w:t>生化池（氧化沟）</w:t>
      </w:r>
      <w:r>
        <w:rPr>
          <w:rFonts w:hint="eastAsia"/>
          <w:szCs w:val="24"/>
        </w:rPr>
        <w:t>-</w:t>
      </w:r>
      <w:r>
        <w:rPr>
          <w:rFonts w:hint="eastAsia"/>
          <w:szCs w:val="24"/>
        </w:rPr>
        <w:t>二沉池</w:t>
      </w:r>
      <w:r>
        <w:rPr>
          <w:rFonts w:hint="eastAsia"/>
          <w:szCs w:val="24"/>
        </w:rPr>
        <w:t>-</w:t>
      </w:r>
      <w:r>
        <w:rPr>
          <w:rFonts w:hint="eastAsia"/>
          <w:szCs w:val="24"/>
        </w:rPr>
        <w:t>中间提升泵房</w:t>
      </w:r>
      <w:r>
        <w:rPr>
          <w:rFonts w:hint="eastAsia"/>
          <w:szCs w:val="24"/>
        </w:rPr>
        <w:t>-V</w:t>
      </w:r>
      <w:r>
        <w:rPr>
          <w:rFonts w:hint="eastAsia"/>
          <w:szCs w:val="24"/>
        </w:rPr>
        <w:t>型滤池</w:t>
      </w:r>
      <w:r>
        <w:rPr>
          <w:rFonts w:hint="eastAsia"/>
          <w:szCs w:val="24"/>
        </w:rPr>
        <w:t>-</w:t>
      </w:r>
      <w:r>
        <w:rPr>
          <w:rFonts w:hint="eastAsia"/>
          <w:szCs w:val="24"/>
        </w:rPr>
        <w:t>紫外消毒。该厂吨水电耗为</w:t>
      </w:r>
      <w:r>
        <w:rPr>
          <w:szCs w:val="24"/>
        </w:rPr>
        <w:t xml:space="preserve">0.248 </w:t>
      </w:r>
      <w:r>
        <w:rPr>
          <w:kern w:val="0"/>
          <w:szCs w:val="24"/>
        </w:rPr>
        <w:t>kW·h/m</w:t>
      </w:r>
      <w:r>
        <w:rPr>
          <w:kern w:val="0"/>
          <w:szCs w:val="24"/>
          <w:vertAlign w:val="superscript"/>
        </w:rPr>
        <w:t>3</w:t>
      </w:r>
      <w:r>
        <w:rPr>
          <w:rFonts w:hint="eastAsia"/>
          <w:kern w:val="0"/>
          <w:szCs w:val="24"/>
        </w:rPr>
        <w:t>，全厂年耗电量为</w:t>
      </w:r>
      <w:r>
        <w:rPr>
          <w:rFonts w:hint="eastAsia"/>
          <w:bCs/>
          <w:kern w:val="0"/>
          <w:szCs w:val="24"/>
        </w:rPr>
        <w:t>545.67</w:t>
      </w:r>
      <w:r>
        <w:rPr>
          <w:rFonts w:hint="eastAsia"/>
          <w:bCs/>
          <w:kern w:val="0"/>
          <w:szCs w:val="24"/>
        </w:rPr>
        <w:sym w:font="Wingdings 2" w:char="F0CD"/>
      </w:r>
      <w:r>
        <w:rPr>
          <w:rFonts w:hint="eastAsia"/>
          <w:szCs w:val="24"/>
        </w:rPr>
        <w:t>1</w:t>
      </w:r>
      <w:r>
        <w:rPr>
          <w:szCs w:val="24"/>
        </w:rPr>
        <w:t>0</w:t>
      </w:r>
      <w:r>
        <w:rPr>
          <w:szCs w:val="24"/>
          <w:vertAlign w:val="superscript"/>
        </w:rPr>
        <w:t>4</w:t>
      </w:r>
      <w:r>
        <w:rPr>
          <w:szCs w:val="24"/>
        </w:rPr>
        <w:t xml:space="preserve"> kW·h</w:t>
      </w:r>
      <w:r>
        <w:rPr>
          <w:rFonts w:hint="eastAsia"/>
          <w:szCs w:val="24"/>
        </w:rPr>
        <w:t>，排放执行国标一级</w:t>
      </w:r>
      <w:r>
        <w:rPr>
          <w:rFonts w:hint="eastAsia"/>
          <w:szCs w:val="24"/>
        </w:rPr>
        <w:t>A</w:t>
      </w:r>
      <w:r>
        <w:rPr>
          <w:rFonts w:hint="eastAsia"/>
          <w:szCs w:val="24"/>
        </w:rPr>
        <w:t>，其</w:t>
      </w:r>
      <w:r>
        <w:rPr>
          <w:rFonts w:hint="eastAsia"/>
          <w:szCs w:val="24"/>
        </w:rPr>
        <w:t>2</w:t>
      </w:r>
      <w:r>
        <w:rPr>
          <w:szCs w:val="24"/>
        </w:rPr>
        <w:t>020</w:t>
      </w:r>
      <w:r>
        <w:rPr>
          <w:rFonts w:hint="eastAsia"/>
          <w:szCs w:val="24"/>
        </w:rPr>
        <w:t>年的实际水质指标年均值如表</w:t>
      </w:r>
      <w:r>
        <w:rPr>
          <w:szCs w:val="24"/>
        </w:rPr>
        <w:t>4-6</w:t>
      </w:r>
      <w:r>
        <w:rPr>
          <w:rFonts w:hint="eastAsia"/>
          <w:szCs w:val="24"/>
        </w:rPr>
        <w:t>所示。</w:t>
      </w:r>
    </w:p>
    <w:p w:rsidR="008E7D53" w:rsidRDefault="0098666E">
      <w:pPr>
        <w:ind w:firstLineChars="0" w:firstLine="0"/>
        <w:jc w:val="center"/>
        <w:textAlignment w:val="baseline"/>
        <w:rPr>
          <w:sz w:val="16"/>
          <w:szCs w:val="24"/>
        </w:rPr>
      </w:pPr>
      <w:r>
        <w:rPr>
          <w:rFonts w:hint="eastAsia"/>
          <w:sz w:val="21"/>
        </w:rPr>
        <w:t>表</w:t>
      </w:r>
      <w:r>
        <w:rPr>
          <w:sz w:val="21"/>
        </w:rPr>
        <w:t xml:space="preserve">4-6 </w:t>
      </w:r>
      <w:r>
        <w:rPr>
          <w:rFonts w:hint="eastAsia"/>
          <w:sz w:val="21"/>
          <w:szCs w:val="24"/>
        </w:rPr>
        <w:t>昆</w:t>
      </w:r>
      <w:r>
        <w:rPr>
          <w:rFonts w:hint="eastAsia"/>
          <w:sz w:val="21"/>
          <w:szCs w:val="24"/>
        </w:rPr>
        <w:t>山某城镇污水处理厂</w:t>
      </w:r>
      <w:r>
        <w:rPr>
          <w:rFonts w:hint="eastAsia"/>
          <w:sz w:val="21"/>
          <w:szCs w:val="24"/>
        </w:rPr>
        <w:t>2</w:t>
      </w:r>
      <w:r>
        <w:rPr>
          <w:sz w:val="21"/>
          <w:szCs w:val="24"/>
        </w:rPr>
        <w:t>020</w:t>
      </w:r>
      <w:r>
        <w:rPr>
          <w:rFonts w:hint="eastAsia"/>
          <w:sz w:val="21"/>
          <w:szCs w:val="24"/>
        </w:rPr>
        <w:t>年水质指标年均值</w:t>
      </w:r>
    </w:p>
    <w:tbl>
      <w:tblPr>
        <w:tblStyle w:val="aff5"/>
        <w:tblW w:w="0" w:type="auto"/>
        <w:tblLook w:val="04A0" w:firstRow="1" w:lastRow="0" w:firstColumn="1" w:lastColumn="0" w:noHBand="0" w:noVBand="1"/>
      </w:tblPr>
      <w:tblGrid>
        <w:gridCol w:w="1186"/>
        <w:gridCol w:w="1186"/>
        <w:gridCol w:w="1186"/>
        <w:gridCol w:w="1186"/>
        <w:gridCol w:w="1186"/>
        <w:gridCol w:w="1186"/>
        <w:gridCol w:w="1186"/>
      </w:tblGrid>
      <w:tr w:rsidR="008E7D53">
        <w:tc>
          <w:tcPr>
            <w:tcW w:w="1186" w:type="dxa"/>
            <w:vMerge w:val="restart"/>
            <w:vAlign w:val="center"/>
          </w:tcPr>
          <w:p w:rsidR="008E7D53" w:rsidRDefault="0098666E">
            <w:pPr>
              <w:ind w:firstLineChars="0" w:firstLine="0"/>
              <w:jc w:val="center"/>
              <w:textAlignment w:val="baseline"/>
              <w:rPr>
                <w:sz w:val="21"/>
                <w:szCs w:val="21"/>
              </w:rPr>
            </w:pPr>
            <w:r>
              <w:rPr>
                <w:sz w:val="21"/>
                <w:szCs w:val="21"/>
              </w:rPr>
              <w:t>污染物（</w:t>
            </w:r>
            <w:r>
              <w:rPr>
                <w:sz w:val="21"/>
                <w:szCs w:val="21"/>
              </w:rPr>
              <w:t>mg/L</w:t>
            </w:r>
            <w:r>
              <w:rPr>
                <w:sz w:val="21"/>
                <w:szCs w:val="21"/>
              </w:rPr>
              <w:t>）</w:t>
            </w:r>
          </w:p>
        </w:tc>
        <w:tc>
          <w:tcPr>
            <w:tcW w:w="3558" w:type="dxa"/>
            <w:gridSpan w:val="3"/>
            <w:vAlign w:val="center"/>
          </w:tcPr>
          <w:p w:rsidR="008E7D53" w:rsidRDefault="0098666E">
            <w:pPr>
              <w:ind w:firstLineChars="0" w:firstLine="0"/>
              <w:jc w:val="center"/>
              <w:textAlignment w:val="baseline"/>
              <w:rPr>
                <w:sz w:val="21"/>
                <w:szCs w:val="21"/>
              </w:rPr>
            </w:pPr>
            <w:r>
              <w:rPr>
                <w:kern w:val="0"/>
                <w:sz w:val="21"/>
                <w:szCs w:val="21"/>
              </w:rPr>
              <w:t>进水</w:t>
            </w:r>
          </w:p>
        </w:tc>
        <w:tc>
          <w:tcPr>
            <w:tcW w:w="3558" w:type="dxa"/>
            <w:gridSpan w:val="3"/>
            <w:vAlign w:val="center"/>
          </w:tcPr>
          <w:p w:rsidR="008E7D53" w:rsidRDefault="0098666E">
            <w:pPr>
              <w:ind w:firstLineChars="0" w:firstLine="0"/>
              <w:jc w:val="center"/>
              <w:textAlignment w:val="baseline"/>
              <w:rPr>
                <w:sz w:val="21"/>
                <w:szCs w:val="21"/>
              </w:rPr>
            </w:pPr>
            <w:r>
              <w:rPr>
                <w:kern w:val="0"/>
                <w:sz w:val="21"/>
                <w:szCs w:val="21"/>
              </w:rPr>
              <w:t>出水</w:t>
            </w:r>
          </w:p>
        </w:tc>
      </w:tr>
      <w:tr w:rsidR="008E7D53">
        <w:tc>
          <w:tcPr>
            <w:tcW w:w="1186" w:type="dxa"/>
            <w:vMerge/>
            <w:vAlign w:val="center"/>
          </w:tcPr>
          <w:p w:rsidR="008E7D53" w:rsidRDefault="008E7D53">
            <w:pPr>
              <w:ind w:firstLineChars="0" w:firstLine="0"/>
              <w:jc w:val="center"/>
              <w:textAlignment w:val="baseline"/>
              <w:rPr>
                <w:sz w:val="21"/>
                <w:szCs w:val="21"/>
              </w:rPr>
            </w:pPr>
          </w:p>
        </w:tc>
        <w:tc>
          <w:tcPr>
            <w:tcW w:w="1186" w:type="dxa"/>
            <w:vAlign w:val="center"/>
          </w:tcPr>
          <w:p w:rsidR="008E7D53" w:rsidRDefault="0098666E">
            <w:pPr>
              <w:ind w:firstLineChars="0" w:firstLine="0"/>
              <w:jc w:val="center"/>
              <w:textAlignment w:val="baseline"/>
              <w:rPr>
                <w:sz w:val="21"/>
                <w:szCs w:val="21"/>
              </w:rPr>
            </w:pPr>
            <w:r>
              <w:rPr>
                <w:kern w:val="0"/>
                <w:sz w:val="21"/>
                <w:szCs w:val="21"/>
              </w:rPr>
              <w:t>最高</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最低</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平均</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最高</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最低</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平均</w:t>
            </w:r>
          </w:p>
        </w:tc>
      </w:tr>
      <w:tr w:rsidR="008E7D53">
        <w:tc>
          <w:tcPr>
            <w:tcW w:w="1186" w:type="dxa"/>
            <w:vAlign w:val="center"/>
          </w:tcPr>
          <w:p w:rsidR="008E7D53" w:rsidRDefault="0098666E">
            <w:pPr>
              <w:ind w:firstLineChars="0" w:firstLine="0"/>
              <w:jc w:val="center"/>
              <w:textAlignment w:val="baseline"/>
              <w:rPr>
                <w:sz w:val="21"/>
                <w:szCs w:val="21"/>
              </w:rPr>
            </w:pPr>
            <w:r>
              <w:rPr>
                <w:kern w:val="0"/>
                <w:sz w:val="21"/>
                <w:szCs w:val="21"/>
              </w:rPr>
              <w:t>COD</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415</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54</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178</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32</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10</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16.6</w:t>
            </w:r>
          </w:p>
        </w:tc>
      </w:tr>
      <w:tr w:rsidR="008E7D53">
        <w:tc>
          <w:tcPr>
            <w:tcW w:w="1186" w:type="dxa"/>
            <w:vAlign w:val="center"/>
          </w:tcPr>
          <w:p w:rsidR="008E7D53" w:rsidRDefault="0098666E">
            <w:pPr>
              <w:ind w:firstLineChars="0" w:firstLine="0"/>
              <w:jc w:val="center"/>
              <w:textAlignment w:val="baseline"/>
              <w:rPr>
                <w:sz w:val="21"/>
                <w:szCs w:val="21"/>
              </w:rPr>
            </w:pPr>
            <w:r>
              <w:rPr>
                <w:kern w:val="0"/>
                <w:sz w:val="21"/>
                <w:szCs w:val="21"/>
              </w:rPr>
              <w:t>BOD</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184</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22</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72</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3.5</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2</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2.2</w:t>
            </w:r>
          </w:p>
        </w:tc>
      </w:tr>
      <w:tr w:rsidR="008E7D53">
        <w:tc>
          <w:tcPr>
            <w:tcW w:w="1186" w:type="dxa"/>
            <w:vAlign w:val="center"/>
          </w:tcPr>
          <w:p w:rsidR="008E7D53" w:rsidRDefault="0098666E">
            <w:pPr>
              <w:ind w:firstLineChars="0" w:firstLine="0"/>
              <w:jc w:val="center"/>
              <w:textAlignment w:val="baseline"/>
              <w:rPr>
                <w:sz w:val="21"/>
                <w:szCs w:val="21"/>
              </w:rPr>
            </w:pPr>
            <w:r>
              <w:rPr>
                <w:kern w:val="0"/>
                <w:sz w:val="21"/>
                <w:szCs w:val="21"/>
              </w:rPr>
              <w:t>NH</w:t>
            </w:r>
            <w:r>
              <w:rPr>
                <w:kern w:val="0"/>
                <w:sz w:val="21"/>
                <w:szCs w:val="21"/>
                <w:vertAlign w:val="subscript"/>
              </w:rPr>
              <w:t>3</w:t>
            </w:r>
            <w:r>
              <w:rPr>
                <w:kern w:val="0"/>
                <w:sz w:val="21"/>
                <w:szCs w:val="21"/>
              </w:rPr>
              <w:t>-N</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45.4</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5.8</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28.5</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4.1</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0.05</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0.23</w:t>
            </w:r>
          </w:p>
        </w:tc>
      </w:tr>
      <w:tr w:rsidR="008E7D53">
        <w:tc>
          <w:tcPr>
            <w:tcW w:w="1186" w:type="dxa"/>
            <w:vAlign w:val="center"/>
          </w:tcPr>
          <w:p w:rsidR="008E7D53" w:rsidRDefault="0098666E">
            <w:pPr>
              <w:ind w:firstLineChars="0" w:firstLine="0"/>
              <w:jc w:val="center"/>
              <w:textAlignment w:val="baseline"/>
              <w:rPr>
                <w:sz w:val="21"/>
                <w:szCs w:val="21"/>
              </w:rPr>
            </w:pPr>
            <w:r>
              <w:rPr>
                <w:kern w:val="0"/>
                <w:sz w:val="21"/>
                <w:szCs w:val="21"/>
              </w:rPr>
              <w:t>TN</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62.1</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8.9</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34.9</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13.8</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3.8</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8.57</w:t>
            </w:r>
          </w:p>
        </w:tc>
      </w:tr>
      <w:tr w:rsidR="008E7D53">
        <w:tc>
          <w:tcPr>
            <w:tcW w:w="1186" w:type="dxa"/>
            <w:vAlign w:val="center"/>
          </w:tcPr>
          <w:p w:rsidR="008E7D53" w:rsidRDefault="0098666E">
            <w:pPr>
              <w:ind w:firstLineChars="0" w:firstLine="0"/>
              <w:jc w:val="center"/>
              <w:textAlignment w:val="baseline"/>
              <w:rPr>
                <w:sz w:val="21"/>
                <w:szCs w:val="21"/>
              </w:rPr>
            </w:pPr>
            <w:r>
              <w:rPr>
                <w:kern w:val="0"/>
                <w:sz w:val="21"/>
                <w:szCs w:val="21"/>
              </w:rPr>
              <w:lastRenderedPageBreak/>
              <w:t>TP</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7.9</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0.6</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3.05</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0.38</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0.06</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0.1015</w:t>
            </w:r>
          </w:p>
        </w:tc>
      </w:tr>
      <w:tr w:rsidR="008E7D53">
        <w:tc>
          <w:tcPr>
            <w:tcW w:w="1186" w:type="dxa"/>
            <w:vAlign w:val="center"/>
          </w:tcPr>
          <w:p w:rsidR="008E7D53" w:rsidRDefault="0098666E">
            <w:pPr>
              <w:ind w:firstLineChars="0" w:firstLine="0"/>
              <w:jc w:val="center"/>
              <w:textAlignment w:val="baseline"/>
              <w:rPr>
                <w:sz w:val="21"/>
                <w:szCs w:val="21"/>
              </w:rPr>
            </w:pPr>
            <w:r>
              <w:rPr>
                <w:kern w:val="0"/>
                <w:sz w:val="21"/>
                <w:szCs w:val="21"/>
              </w:rPr>
              <w:t>SS</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251</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45</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115</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7</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4</w:t>
            </w:r>
          </w:p>
        </w:tc>
        <w:tc>
          <w:tcPr>
            <w:tcW w:w="1186" w:type="dxa"/>
            <w:vAlign w:val="center"/>
          </w:tcPr>
          <w:p w:rsidR="008E7D53" w:rsidRDefault="0098666E">
            <w:pPr>
              <w:ind w:firstLineChars="0" w:firstLine="0"/>
              <w:jc w:val="center"/>
              <w:textAlignment w:val="baseline"/>
              <w:rPr>
                <w:sz w:val="21"/>
                <w:szCs w:val="21"/>
              </w:rPr>
            </w:pPr>
            <w:r>
              <w:rPr>
                <w:kern w:val="0"/>
                <w:sz w:val="21"/>
                <w:szCs w:val="21"/>
              </w:rPr>
              <w:t>4</w:t>
            </w:r>
          </w:p>
        </w:tc>
      </w:tr>
    </w:tbl>
    <w:p w:rsidR="008E7D53" w:rsidRDefault="008E7D53">
      <w:pPr>
        <w:ind w:firstLine="480"/>
        <w:textAlignment w:val="baseline"/>
        <w:rPr>
          <w:szCs w:val="24"/>
        </w:rPr>
      </w:pPr>
    </w:p>
    <w:p w:rsidR="008E7D53" w:rsidRDefault="0098666E">
      <w:pPr>
        <w:ind w:firstLine="480"/>
        <w:textAlignment w:val="baseline"/>
        <w:rPr>
          <w:szCs w:val="24"/>
        </w:rPr>
      </w:pPr>
      <w:r>
        <w:rPr>
          <w:rFonts w:hint="eastAsia"/>
          <w:szCs w:val="24"/>
        </w:rPr>
        <w:t>每千克总污染物去除电耗</w:t>
      </w:r>
      <w:r>
        <w:rPr>
          <w:rFonts w:hint="eastAsia"/>
          <w:szCs w:val="24"/>
        </w:rPr>
        <w:t>=</w:t>
      </w:r>
      <w:r>
        <w:rPr>
          <w:szCs w:val="24"/>
        </w:rPr>
        <w:t>545.67</w:t>
      </w:r>
      <w:r>
        <w:rPr>
          <w:szCs w:val="24"/>
        </w:rPr>
        <w:sym w:font="Wingdings 2" w:char="F0CD"/>
      </w:r>
      <w:r>
        <w:rPr>
          <w:szCs w:val="24"/>
        </w:rPr>
        <w:t>1000</w:t>
      </w:r>
      <w:r>
        <w:rPr>
          <w:rFonts w:hint="eastAsia"/>
          <w:szCs w:val="24"/>
        </w:rPr>
        <w:t>/</w:t>
      </w:r>
      <w:r>
        <w:rPr>
          <w:rFonts w:hint="eastAsia"/>
          <w:szCs w:val="24"/>
        </w:rPr>
        <w:t>（</w:t>
      </w:r>
      <w:r>
        <w:rPr>
          <w:szCs w:val="24"/>
        </w:rPr>
        <w:t>365</w:t>
      </w:r>
      <w:r>
        <w:rPr>
          <w:szCs w:val="24"/>
        </w:rPr>
        <w:sym w:font="Wingdings 2" w:char="F0CD"/>
      </w:r>
      <w:r>
        <w:rPr>
          <w:szCs w:val="24"/>
        </w:rPr>
        <w:t>5.26</w:t>
      </w:r>
      <w:r>
        <w:rPr>
          <w:szCs w:val="24"/>
        </w:rPr>
        <w:sym w:font="Wingdings 2" w:char="F0CD"/>
      </w:r>
      <w:r>
        <w:rPr>
          <w:rFonts w:hint="eastAsia"/>
          <w:szCs w:val="24"/>
        </w:rPr>
        <w:t>（（</w:t>
      </w:r>
      <w:r>
        <w:rPr>
          <w:szCs w:val="24"/>
        </w:rPr>
        <w:t>178-16.6</w:t>
      </w:r>
      <w:r>
        <w:rPr>
          <w:rFonts w:hint="eastAsia"/>
          <w:szCs w:val="24"/>
        </w:rPr>
        <w:t>）</w:t>
      </w:r>
      <w:r>
        <w:rPr>
          <w:szCs w:val="24"/>
        </w:rPr>
        <w:t>+2</w:t>
      </w:r>
      <w:r>
        <w:rPr>
          <w:rFonts w:hint="eastAsia"/>
          <w:szCs w:val="24"/>
        </w:rPr>
        <w:t>（</w:t>
      </w:r>
      <w:r>
        <w:rPr>
          <w:szCs w:val="24"/>
        </w:rPr>
        <w:t>72-2.2</w:t>
      </w:r>
      <w:r>
        <w:rPr>
          <w:rFonts w:hint="eastAsia"/>
          <w:szCs w:val="24"/>
        </w:rPr>
        <w:t>）</w:t>
      </w:r>
      <w:r>
        <w:rPr>
          <w:szCs w:val="24"/>
        </w:rPr>
        <w:t>+2</w:t>
      </w:r>
      <w:r>
        <w:rPr>
          <w:rFonts w:hint="eastAsia"/>
          <w:szCs w:val="24"/>
        </w:rPr>
        <w:t>（</w:t>
      </w:r>
      <w:r>
        <w:rPr>
          <w:szCs w:val="24"/>
        </w:rPr>
        <w:t>115-4</w:t>
      </w:r>
      <w:r>
        <w:rPr>
          <w:rFonts w:hint="eastAsia"/>
          <w:szCs w:val="24"/>
        </w:rPr>
        <w:t>）</w:t>
      </w:r>
      <w:r>
        <w:rPr>
          <w:szCs w:val="24"/>
        </w:rPr>
        <w:t>+20</w:t>
      </w:r>
      <w:r>
        <w:rPr>
          <w:rFonts w:hint="eastAsia"/>
          <w:szCs w:val="24"/>
        </w:rPr>
        <w:t>（</w:t>
      </w:r>
      <w:r>
        <w:rPr>
          <w:szCs w:val="24"/>
        </w:rPr>
        <w:t>34.9-8.57</w:t>
      </w:r>
      <w:r>
        <w:rPr>
          <w:rFonts w:hint="eastAsia"/>
          <w:szCs w:val="24"/>
        </w:rPr>
        <w:t>）</w:t>
      </w:r>
      <w:r>
        <w:rPr>
          <w:szCs w:val="24"/>
        </w:rPr>
        <w:t>+100</w:t>
      </w:r>
      <w:r>
        <w:rPr>
          <w:rFonts w:hint="eastAsia"/>
          <w:szCs w:val="24"/>
        </w:rPr>
        <w:t>（</w:t>
      </w:r>
      <w:r>
        <w:rPr>
          <w:szCs w:val="24"/>
        </w:rPr>
        <w:t>3.05-0.1015</w:t>
      </w:r>
      <w:r>
        <w:rPr>
          <w:rFonts w:hint="eastAsia"/>
          <w:szCs w:val="24"/>
        </w:rPr>
        <w:t>））</w:t>
      </w:r>
      <w:r>
        <w:rPr>
          <w:rFonts w:hint="eastAsia"/>
          <w:szCs w:val="24"/>
        </w:rPr>
        <w:t>=</w:t>
      </w:r>
      <w:r>
        <w:rPr>
          <w:szCs w:val="24"/>
        </w:rPr>
        <w:t xml:space="preserve">0.211 </w:t>
      </w:r>
      <w:r>
        <w:rPr>
          <w:rFonts w:hint="eastAsia"/>
          <w:szCs w:val="24"/>
        </w:rPr>
        <w:t>（</w:t>
      </w:r>
      <w:r>
        <w:rPr>
          <w:szCs w:val="24"/>
        </w:rPr>
        <w:t xml:space="preserve">kW·h/kg </w:t>
      </w:r>
      <w:r>
        <w:rPr>
          <w:rFonts w:hint="eastAsia"/>
          <w:szCs w:val="24"/>
        </w:rPr>
        <w:t>总污染物</w:t>
      </w:r>
      <w:r>
        <w:rPr>
          <w:rFonts w:hint="eastAsia"/>
          <w:szCs w:val="24"/>
        </w:rPr>
        <w:t>）。</w:t>
      </w:r>
    </w:p>
    <w:p w:rsidR="008E7D53" w:rsidRDefault="0098666E">
      <w:pPr>
        <w:ind w:firstLine="480"/>
        <w:textAlignment w:val="baseline"/>
        <w:rPr>
          <w:iCs/>
          <w:sz w:val="20"/>
          <w:szCs w:val="24"/>
        </w:rPr>
      </w:pPr>
      <w:r>
        <w:rPr>
          <w:iCs/>
          <w:szCs w:val="24"/>
        </w:rPr>
        <w:t>参照《江苏省城镇污水处理厂运行管理考核标准》，</w:t>
      </w:r>
      <w:r>
        <w:rPr>
          <w:iCs/>
          <w:szCs w:val="24"/>
        </w:rPr>
        <w:t>0.248&lt;0.37</w:t>
      </w:r>
      <w:r>
        <w:rPr>
          <w:iCs/>
          <w:szCs w:val="24"/>
        </w:rPr>
        <w:t>，属于中等偏低能耗，和我们采用每千克总污染物去除电耗指标评价结果一致。</w:t>
      </w:r>
    </w:p>
    <w:p w:rsidR="008E7D53" w:rsidRDefault="0098666E">
      <w:pPr>
        <w:pStyle w:val="affe"/>
        <w:numPr>
          <w:ilvl w:val="0"/>
          <w:numId w:val="8"/>
        </w:numPr>
        <w:ind w:left="0" w:firstLine="480"/>
        <w:textAlignment w:val="baseline"/>
        <w:rPr>
          <w:szCs w:val="24"/>
        </w:rPr>
      </w:pPr>
      <w:r>
        <w:rPr>
          <w:rFonts w:hint="eastAsia"/>
          <w:szCs w:val="24"/>
        </w:rPr>
        <w:t>吴中区某城镇污水处理厂：其设计规模为</w:t>
      </w:r>
      <w:r>
        <w:rPr>
          <w:szCs w:val="24"/>
        </w:rPr>
        <w:t>15</w:t>
      </w:r>
      <w:r>
        <w:rPr>
          <w:rFonts w:hint="eastAsia"/>
          <w:szCs w:val="24"/>
        </w:rPr>
        <w:t>万吨</w:t>
      </w:r>
      <w:r>
        <w:rPr>
          <w:rFonts w:hint="eastAsia"/>
          <w:szCs w:val="24"/>
        </w:rPr>
        <w:t>/</w:t>
      </w:r>
      <w:r>
        <w:rPr>
          <w:rFonts w:hint="eastAsia"/>
          <w:szCs w:val="24"/>
        </w:rPr>
        <w:t>天，实际处理量为</w:t>
      </w:r>
      <w:r>
        <w:rPr>
          <w:szCs w:val="24"/>
        </w:rPr>
        <w:t>13.46</w:t>
      </w:r>
      <w:r>
        <w:rPr>
          <w:rFonts w:hint="eastAsia"/>
          <w:szCs w:val="24"/>
        </w:rPr>
        <w:t>万吨</w:t>
      </w:r>
      <w:r>
        <w:rPr>
          <w:rFonts w:hint="eastAsia"/>
          <w:szCs w:val="24"/>
        </w:rPr>
        <w:t>/</w:t>
      </w:r>
      <w:r>
        <w:rPr>
          <w:rFonts w:hint="eastAsia"/>
          <w:szCs w:val="24"/>
        </w:rPr>
        <w:t>天。其采用的处理工艺为</w:t>
      </w:r>
      <w:r>
        <w:rPr>
          <w:szCs w:val="24"/>
        </w:rPr>
        <w:t>A</w:t>
      </w:r>
      <w:r>
        <w:rPr>
          <w:szCs w:val="24"/>
          <w:vertAlign w:val="superscript"/>
        </w:rPr>
        <w:t>2</w:t>
      </w:r>
      <w:r>
        <w:rPr>
          <w:szCs w:val="24"/>
        </w:rPr>
        <w:t>/O</w:t>
      </w:r>
      <w:r>
        <w:rPr>
          <w:rFonts w:hint="eastAsia"/>
          <w:szCs w:val="24"/>
        </w:rPr>
        <w:t>+</w:t>
      </w:r>
      <w:r>
        <w:rPr>
          <w:rFonts w:hint="eastAsia"/>
          <w:szCs w:val="24"/>
        </w:rPr>
        <w:t>深度处理，处理流程为：粗格栅</w:t>
      </w:r>
      <w:r>
        <w:rPr>
          <w:rFonts w:hint="eastAsia"/>
          <w:szCs w:val="24"/>
        </w:rPr>
        <w:t>-</w:t>
      </w:r>
      <w:r>
        <w:rPr>
          <w:rFonts w:hint="eastAsia"/>
          <w:szCs w:val="24"/>
        </w:rPr>
        <w:t>进水提升泵房</w:t>
      </w:r>
      <w:r>
        <w:rPr>
          <w:rFonts w:hint="eastAsia"/>
          <w:szCs w:val="24"/>
        </w:rPr>
        <w:t>-</w:t>
      </w:r>
      <w:r>
        <w:rPr>
          <w:rFonts w:hint="eastAsia"/>
          <w:szCs w:val="24"/>
        </w:rPr>
        <w:t>细格栅</w:t>
      </w:r>
      <w:r>
        <w:rPr>
          <w:rFonts w:hint="eastAsia"/>
          <w:szCs w:val="24"/>
        </w:rPr>
        <w:t>-</w:t>
      </w:r>
      <w:r>
        <w:rPr>
          <w:rFonts w:hint="eastAsia"/>
          <w:szCs w:val="24"/>
        </w:rPr>
        <w:t>曝气沉砂池</w:t>
      </w:r>
      <w:r>
        <w:rPr>
          <w:rFonts w:hint="eastAsia"/>
          <w:szCs w:val="24"/>
        </w:rPr>
        <w:t>-</w:t>
      </w:r>
      <w:r>
        <w:rPr>
          <w:rFonts w:hint="eastAsia"/>
          <w:szCs w:val="24"/>
        </w:rPr>
        <w:t>初沉池</w:t>
      </w:r>
      <w:r>
        <w:rPr>
          <w:rFonts w:hint="eastAsia"/>
          <w:szCs w:val="24"/>
        </w:rPr>
        <w:t>-</w:t>
      </w:r>
      <w:r>
        <w:rPr>
          <w:szCs w:val="24"/>
        </w:rPr>
        <w:t>A</w:t>
      </w:r>
      <w:r>
        <w:rPr>
          <w:szCs w:val="24"/>
          <w:vertAlign w:val="superscript"/>
        </w:rPr>
        <w:t>2</w:t>
      </w:r>
      <w:r>
        <w:rPr>
          <w:szCs w:val="24"/>
        </w:rPr>
        <w:t>/O</w:t>
      </w:r>
      <w:r>
        <w:rPr>
          <w:rFonts w:hint="eastAsia"/>
          <w:szCs w:val="24"/>
        </w:rPr>
        <w:t>生化池</w:t>
      </w:r>
      <w:r>
        <w:rPr>
          <w:rFonts w:hint="eastAsia"/>
          <w:szCs w:val="24"/>
        </w:rPr>
        <w:t>-</w:t>
      </w:r>
      <w:r>
        <w:rPr>
          <w:rFonts w:hint="eastAsia"/>
          <w:szCs w:val="24"/>
        </w:rPr>
        <w:t>二沉池</w:t>
      </w:r>
      <w:r>
        <w:rPr>
          <w:rFonts w:hint="eastAsia"/>
          <w:szCs w:val="24"/>
        </w:rPr>
        <w:t>-</w:t>
      </w:r>
      <w:r>
        <w:rPr>
          <w:rFonts w:hint="eastAsia"/>
          <w:szCs w:val="24"/>
        </w:rPr>
        <w:t>二次提升泵房</w:t>
      </w:r>
      <w:r>
        <w:rPr>
          <w:rFonts w:hint="eastAsia"/>
          <w:szCs w:val="24"/>
        </w:rPr>
        <w:t>-</w:t>
      </w:r>
      <w:r>
        <w:rPr>
          <w:rFonts w:hint="eastAsia"/>
          <w:szCs w:val="24"/>
        </w:rPr>
        <w:t>高效沉淀池</w:t>
      </w:r>
      <w:r>
        <w:rPr>
          <w:rFonts w:hint="eastAsia"/>
          <w:szCs w:val="24"/>
        </w:rPr>
        <w:t>-</w:t>
      </w:r>
      <w:r>
        <w:rPr>
          <w:rFonts w:hint="eastAsia"/>
          <w:szCs w:val="24"/>
        </w:rPr>
        <w:t>纤维滤池</w:t>
      </w:r>
      <w:r>
        <w:rPr>
          <w:rFonts w:hint="eastAsia"/>
          <w:szCs w:val="24"/>
        </w:rPr>
        <w:t>-</w:t>
      </w:r>
      <w:r>
        <w:rPr>
          <w:rFonts w:hint="eastAsia"/>
          <w:szCs w:val="24"/>
        </w:rPr>
        <w:t>紫外消毒。该厂吨水电耗为</w:t>
      </w:r>
      <w:r>
        <w:rPr>
          <w:rFonts w:hint="eastAsia"/>
          <w:szCs w:val="24"/>
        </w:rPr>
        <w:t>0</w:t>
      </w:r>
      <w:r>
        <w:rPr>
          <w:szCs w:val="24"/>
        </w:rPr>
        <w:t xml:space="preserve">.328 </w:t>
      </w:r>
      <w:r>
        <w:rPr>
          <w:kern w:val="0"/>
          <w:szCs w:val="24"/>
        </w:rPr>
        <w:t>kW·h/m</w:t>
      </w:r>
      <w:r>
        <w:rPr>
          <w:kern w:val="0"/>
          <w:szCs w:val="24"/>
          <w:vertAlign w:val="superscript"/>
        </w:rPr>
        <w:t>3</w:t>
      </w:r>
      <w:r>
        <w:rPr>
          <w:rFonts w:hint="eastAsia"/>
          <w:kern w:val="0"/>
          <w:szCs w:val="24"/>
        </w:rPr>
        <w:t>，全厂年耗电量为</w:t>
      </w:r>
      <w:r>
        <w:rPr>
          <w:rFonts w:hint="eastAsia"/>
          <w:bCs/>
          <w:kern w:val="0"/>
          <w:szCs w:val="24"/>
        </w:rPr>
        <w:t>1612.68</w:t>
      </w:r>
      <w:r>
        <w:rPr>
          <w:rFonts w:hint="eastAsia"/>
          <w:bCs/>
          <w:kern w:val="0"/>
          <w:szCs w:val="24"/>
        </w:rPr>
        <w:sym w:font="Wingdings 2" w:char="F0CD"/>
      </w:r>
      <w:r>
        <w:rPr>
          <w:rFonts w:hint="eastAsia"/>
          <w:szCs w:val="24"/>
        </w:rPr>
        <w:t>1</w:t>
      </w:r>
      <w:r>
        <w:rPr>
          <w:szCs w:val="24"/>
        </w:rPr>
        <w:t>0</w:t>
      </w:r>
      <w:r>
        <w:rPr>
          <w:szCs w:val="24"/>
          <w:vertAlign w:val="superscript"/>
        </w:rPr>
        <w:t>4</w:t>
      </w:r>
      <w:r>
        <w:rPr>
          <w:szCs w:val="24"/>
        </w:rPr>
        <w:t xml:space="preserve"> kW·h</w:t>
      </w:r>
      <w:r>
        <w:rPr>
          <w:rFonts w:hint="eastAsia"/>
          <w:szCs w:val="24"/>
        </w:rPr>
        <w:t>，排放执行国标一级</w:t>
      </w:r>
      <w:r>
        <w:rPr>
          <w:rFonts w:hint="eastAsia"/>
          <w:szCs w:val="24"/>
        </w:rPr>
        <w:t>A</w:t>
      </w:r>
      <w:r>
        <w:rPr>
          <w:rFonts w:hint="eastAsia"/>
          <w:szCs w:val="24"/>
        </w:rPr>
        <w:t>，其</w:t>
      </w:r>
      <w:r>
        <w:rPr>
          <w:rFonts w:hint="eastAsia"/>
          <w:szCs w:val="24"/>
        </w:rPr>
        <w:t>2</w:t>
      </w:r>
      <w:r>
        <w:rPr>
          <w:szCs w:val="24"/>
        </w:rPr>
        <w:t>020</w:t>
      </w:r>
      <w:r>
        <w:rPr>
          <w:rFonts w:hint="eastAsia"/>
          <w:szCs w:val="24"/>
        </w:rPr>
        <w:t>年的实际水质指标年均值如表</w:t>
      </w:r>
      <w:r>
        <w:rPr>
          <w:szCs w:val="24"/>
        </w:rPr>
        <w:t>4-7</w:t>
      </w:r>
      <w:r>
        <w:rPr>
          <w:rFonts w:hint="eastAsia"/>
          <w:szCs w:val="24"/>
        </w:rPr>
        <w:t>所示。</w:t>
      </w:r>
    </w:p>
    <w:p w:rsidR="008E7D53" w:rsidRDefault="0098666E">
      <w:pPr>
        <w:ind w:firstLineChars="0" w:firstLine="0"/>
        <w:jc w:val="center"/>
        <w:textAlignment w:val="baseline"/>
        <w:rPr>
          <w:sz w:val="16"/>
          <w:szCs w:val="24"/>
        </w:rPr>
      </w:pPr>
      <w:r>
        <w:rPr>
          <w:rFonts w:hint="eastAsia"/>
          <w:sz w:val="21"/>
        </w:rPr>
        <w:t>表</w:t>
      </w:r>
      <w:r>
        <w:rPr>
          <w:sz w:val="21"/>
        </w:rPr>
        <w:t xml:space="preserve">4-7 </w:t>
      </w:r>
      <w:r>
        <w:rPr>
          <w:rFonts w:hint="eastAsia"/>
          <w:sz w:val="21"/>
          <w:szCs w:val="24"/>
        </w:rPr>
        <w:t>吴中区某城镇污水处理厂</w:t>
      </w:r>
      <w:r>
        <w:rPr>
          <w:rFonts w:hint="eastAsia"/>
          <w:sz w:val="21"/>
          <w:szCs w:val="24"/>
        </w:rPr>
        <w:t>2</w:t>
      </w:r>
      <w:r>
        <w:rPr>
          <w:sz w:val="21"/>
          <w:szCs w:val="24"/>
        </w:rPr>
        <w:t>020</w:t>
      </w:r>
      <w:r>
        <w:rPr>
          <w:rFonts w:hint="eastAsia"/>
          <w:sz w:val="21"/>
          <w:szCs w:val="24"/>
        </w:rPr>
        <w:t>年水质指标年均值</w:t>
      </w:r>
    </w:p>
    <w:tbl>
      <w:tblPr>
        <w:tblStyle w:val="aff5"/>
        <w:tblW w:w="0" w:type="auto"/>
        <w:jc w:val="center"/>
        <w:tblLook w:val="04A0" w:firstRow="1" w:lastRow="0" w:firstColumn="1" w:lastColumn="0" w:noHBand="0" w:noVBand="1"/>
      </w:tblPr>
      <w:tblGrid>
        <w:gridCol w:w="1546"/>
        <w:gridCol w:w="1041"/>
        <w:gridCol w:w="1020"/>
        <w:gridCol w:w="1535"/>
        <w:gridCol w:w="1020"/>
        <w:gridCol w:w="1121"/>
        <w:gridCol w:w="1019"/>
      </w:tblGrid>
      <w:tr w:rsidR="008E7D53">
        <w:trPr>
          <w:jc w:val="center"/>
        </w:trPr>
        <w:tc>
          <w:tcPr>
            <w:tcW w:w="1546" w:type="dxa"/>
            <w:vMerge w:val="restart"/>
            <w:vAlign w:val="center"/>
          </w:tcPr>
          <w:p w:rsidR="008E7D53" w:rsidRDefault="0098666E">
            <w:pPr>
              <w:ind w:firstLineChars="0" w:firstLine="0"/>
              <w:jc w:val="center"/>
              <w:textAlignment w:val="baseline"/>
              <w:rPr>
                <w:sz w:val="21"/>
                <w:szCs w:val="21"/>
              </w:rPr>
            </w:pPr>
            <w:r>
              <w:rPr>
                <w:rFonts w:hint="eastAsia"/>
                <w:sz w:val="21"/>
                <w:szCs w:val="21"/>
              </w:rPr>
              <w:t>污染物（</w:t>
            </w:r>
            <w:r>
              <w:rPr>
                <w:sz w:val="21"/>
                <w:szCs w:val="21"/>
              </w:rPr>
              <w:t>mg/L</w:t>
            </w:r>
            <w:r>
              <w:rPr>
                <w:rFonts w:hint="eastAsia"/>
                <w:sz w:val="21"/>
                <w:szCs w:val="21"/>
              </w:rPr>
              <w:t>）</w:t>
            </w:r>
          </w:p>
        </w:tc>
        <w:tc>
          <w:tcPr>
            <w:tcW w:w="3596" w:type="dxa"/>
            <w:gridSpan w:val="3"/>
            <w:vAlign w:val="center"/>
          </w:tcPr>
          <w:p w:rsidR="008E7D53" w:rsidRDefault="0098666E">
            <w:pPr>
              <w:ind w:firstLineChars="0" w:firstLine="0"/>
              <w:jc w:val="center"/>
              <w:textAlignment w:val="baseline"/>
              <w:rPr>
                <w:sz w:val="21"/>
                <w:szCs w:val="21"/>
              </w:rPr>
            </w:pPr>
            <w:r>
              <w:rPr>
                <w:rFonts w:ascii="宋体" w:hAnsi="宋体" w:cs="宋体" w:hint="eastAsia"/>
                <w:kern w:val="0"/>
                <w:sz w:val="21"/>
                <w:szCs w:val="21"/>
              </w:rPr>
              <w:t>进水</w:t>
            </w:r>
          </w:p>
        </w:tc>
        <w:tc>
          <w:tcPr>
            <w:tcW w:w="3160" w:type="dxa"/>
            <w:gridSpan w:val="3"/>
            <w:vAlign w:val="center"/>
          </w:tcPr>
          <w:p w:rsidR="008E7D53" w:rsidRDefault="0098666E">
            <w:pPr>
              <w:ind w:firstLineChars="0" w:firstLine="0"/>
              <w:jc w:val="center"/>
              <w:textAlignment w:val="baseline"/>
              <w:rPr>
                <w:sz w:val="21"/>
                <w:szCs w:val="21"/>
              </w:rPr>
            </w:pPr>
            <w:r>
              <w:rPr>
                <w:rFonts w:ascii="宋体" w:hAnsi="宋体" w:cs="宋体" w:hint="eastAsia"/>
                <w:kern w:val="0"/>
                <w:sz w:val="21"/>
                <w:szCs w:val="21"/>
              </w:rPr>
              <w:t>出水</w:t>
            </w:r>
          </w:p>
        </w:tc>
      </w:tr>
      <w:tr w:rsidR="008E7D53">
        <w:trPr>
          <w:jc w:val="center"/>
        </w:trPr>
        <w:tc>
          <w:tcPr>
            <w:tcW w:w="1546" w:type="dxa"/>
            <w:vMerge/>
            <w:vAlign w:val="center"/>
          </w:tcPr>
          <w:p w:rsidR="008E7D53" w:rsidRDefault="008E7D53">
            <w:pPr>
              <w:ind w:firstLineChars="0" w:firstLine="0"/>
              <w:jc w:val="center"/>
              <w:textAlignment w:val="baseline"/>
              <w:rPr>
                <w:sz w:val="21"/>
                <w:szCs w:val="21"/>
              </w:rPr>
            </w:pPr>
          </w:p>
        </w:tc>
        <w:tc>
          <w:tcPr>
            <w:tcW w:w="1041" w:type="dxa"/>
            <w:vAlign w:val="center"/>
          </w:tcPr>
          <w:p w:rsidR="008E7D53" w:rsidRDefault="0098666E">
            <w:pPr>
              <w:ind w:firstLineChars="0" w:firstLine="0"/>
              <w:jc w:val="center"/>
              <w:textAlignment w:val="baseline"/>
              <w:rPr>
                <w:sz w:val="21"/>
                <w:szCs w:val="21"/>
              </w:rPr>
            </w:pPr>
            <w:r>
              <w:rPr>
                <w:rFonts w:ascii="宋体" w:hAnsi="宋体" w:cs="宋体" w:hint="eastAsia"/>
                <w:kern w:val="0"/>
                <w:sz w:val="21"/>
                <w:szCs w:val="21"/>
              </w:rPr>
              <w:t>最高</w:t>
            </w:r>
          </w:p>
        </w:tc>
        <w:tc>
          <w:tcPr>
            <w:tcW w:w="1020" w:type="dxa"/>
            <w:vAlign w:val="center"/>
          </w:tcPr>
          <w:p w:rsidR="008E7D53" w:rsidRDefault="0098666E">
            <w:pPr>
              <w:ind w:firstLineChars="0" w:firstLine="0"/>
              <w:jc w:val="center"/>
              <w:textAlignment w:val="baseline"/>
              <w:rPr>
                <w:sz w:val="21"/>
                <w:szCs w:val="21"/>
              </w:rPr>
            </w:pPr>
            <w:r>
              <w:rPr>
                <w:rFonts w:ascii="宋体" w:hAnsi="宋体" w:cs="宋体" w:hint="eastAsia"/>
                <w:kern w:val="0"/>
                <w:sz w:val="21"/>
                <w:szCs w:val="21"/>
              </w:rPr>
              <w:t>最低</w:t>
            </w:r>
          </w:p>
        </w:tc>
        <w:tc>
          <w:tcPr>
            <w:tcW w:w="1535" w:type="dxa"/>
            <w:vAlign w:val="center"/>
          </w:tcPr>
          <w:p w:rsidR="008E7D53" w:rsidRDefault="0098666E">
            <w:pPr>
              <w:ind w:firstLineChars="0" w:firstLine="0"/>
              <w:jc w:val="center"/>
              <w:textAlignment w:val="baseline"/>
              <w:rPr>
                <w:sz w:val="21"/>
                <w:szCs w:val="21"/>
              </w:rPr>
            </w:pPr>
            <w:r>
              <w:rPr>
                <w:rFonts w:ascii="宋体" w:hAnsi="宋体" w:cs="宋体" w:hint="eastAsia"/>
                <w:kern w:val="0"/>
                <w:sz w:val="21"/>
                <w:szCs w:val="21"/>
              </w:rPr>
              <w:t>平均</w:t>
            </w:r>
          </w:p>
        </w:tc>
        <w:tc>
          <w:tcPr>
            <w:tcW w:w="1020" w:type="dxa"/>
            <w:vAlign w:val="center"/>
          </w:tcPr>
          <w:p w:rsidR="008E7D53" w:rsidRDefault="0098666E">
            <w:pPr>
              <w:ind w:firstLineChars="0" w:firstLine="0"/>
              <w:jc w:val="center"/>
              <w:textAlignment w:val="baseline"/>
              <w:rPr>
                <w:sz w:val="21"/>
                <w:szCs w:val="21"/>
              </w:rPr>
            </w:pPr>
            <w:r>
              <w:rPr>
                <w:rFonts w:ascii="宋体" w:hAnsi="宋体" w:cs="宋体" w:hint="eastAsia"/>
                <w:kern w:val="0"/>
                <w:sz w:val="21"/>
                <w:szCs w:val="21"/>
              </w:rPr>
              <w:t>最高</w:t>
            </w:r>
          </w:p>
        </w:tc>
        <w:tc>
          <w:tcPr>
            <w:tcW w:w="1121" w:type="dxa"/>
            <w:vAlign w:val="center"/>
          </w:tcPr>
          <w:p w:rsidR="008E7D53" w:rsidRDefault="0098666E">
            <w:pPr>
              <w:ind w:firstLineChars="0" w:firstLine="0"/>
              <w:jc w:val="center"/>
              <w:textAlignment w:val="baseline"/>
              <w:rPr>
                <w:sz w:val="21"/>
                <w:szCs w:val="21"/>
              </w:rPr>
            </w:pPr>
            <w:r>
              <w:rPr>
                <w:rFonts w:ascii="宋体" w:hAnsi="宋体" w:cs="宋体" w:hint="eastAsia"/>
                <w:kern w:val="0"/>
                <w:sz w:val="21"/>
                <w:szCs w:val="21"/>
              </w:rPr>
              <w:t>最低</w:t>
            </w:r>
          </w:p>
        </w:tc>
        <w:tc>
          <w:tcPr>
            <w:tcW w:w="1019" w:type="dxa"/>
            <w:vAlign w:val="center"/>
          </w:tcPr>
          <w:p w:rsidR="008E7D53" w:rsidRDefault="0098666E">
            <w:pPr>
              <w:ind w:firstLineChars="0" w:firstLine="0"/>
              <w:jc w:val="center"/>
              <w:textAlignment w:val="baseline"/>
              <w:rPr>
                <w:sz w:val="21"/>
                <w:szCs w:val="21"/>
              </w:rPr>
            </w:pPr>
            <w:r>
              <w:rPr>
                <w:rFonts w:ascii="宋体" w:hAnsi="宋体" w:cs="宋体" w:hint="eastAsia"/>
                <w:kern w:val="0"/>
                <w:sz w:val="21"/>
                <w:szCs w:val="21"/>
              </w:rPr>
              <w:t>平均</w:t>
            </w:r>
          </w:p>
        </w:tc>
      </w:tr>
      <w:tr w:rsidR="008E7D53">
        <w:trPr>
          <w:jc w:val="center"/>
        </w:trPr>
        <w:tc>
          <w:tcPr>
            <w:tcW w:w="1546" w:type="dxa"/>
            <w:vAlign w:val="center"/>
          </w:tcPr>
          <w:p w:rsidR="008E7D53" w:rsidRDefault="0098666E">
            <w:pPr>
              <w:ind w:firstLineChars="0" w:firstLine="0"/>
              <w:jc w:val="center"/>
              <w:textAlignment w:val="baseline"/>
              <w:rPr>
                <w:sz w:val="21"/>
                <w:szCs w:val="21"/>
              </w:rPr>
            </w:pPr>
            <w:r>
              <w:rPr>
                <w:kern w:val="0"/>
                <w:sz w:val="21"/>
                <w:szCs w:val="21"/>
              </w:rPr>
              <w:t>COD</w:t>
            </w:r>
          </w:p>
        </w:tc>
        <w:tc>
          <w:tcPr>
            <w:tcW w:w="1041" w:type="dxa"/>
          </w:tcPr>
          <w:p w:rsidR="008E7D53" w:rsidRDefault="0098666E">
            <w:pPr>
              <w:ind w:firstLineChars="0" w:firstLine="0"/>
              <w:jc w:val="center"/>
              <w:textAlignment w:val="baseline"/>
              <w:rPr>
                <w:sz w:val="21"/>
                <w:szCs w:val="21"/>
              </w:rPr>
            </w:pPr>
            <w:r>
              <w:rPr>
                <w:sz w:val="21"/>
                <w:szCs w:val="21"/>
              </w:rPr>
              <w:t>966</w:t>
            </w:r>
          </w:p>
        </w:tc>
        <w:tc>
          <w:tcPr>
            <w:tcW w:w="1020" w:type="dxa"/>
          </w:tcPr>
          <w:p w:rsidR="008E7D53" w:rsidRDefault="0098666E">
            <w:pPr>
              <w:ind w:firstLineChars="0" w:firstLine="0"/>
              <w:jc w:val="center"/>
              <w:textAlignment w:val="baseline"/>
              <w:rPr>
                <w:sz w:val="21"/>
                <w:szCs w:val="21"/>
              </w:rPr>
            </w:pPr>
            <w:r>
              <w:rPr>
                <w:sz w:val="21"/>
                <w:szCs w:val="21"/>
              </w:rPr>
              <w:t>50</w:t>
            </w:r>
          </w:p>
        </w:tc>
        <w:tc>
          <w:tcPr>
            <w:tcW w:w="1535" w:type="dxa"/>
          </w:tcPr>
          <w:p w:rsidR="008E7D53" w:rsidRDefault="0098666E">
            <w:pPr>
              <w:ind w:firstLineChars="0" w:firstLine="0"/>
              <w:jc w:val="center"/>
              <w:textAlignment w:val="baseline"/>
              <w:rPr>
                <w:sz w:val="21"/>
                <w:szCs w:val="21"/>
              </w:rPr>
            </w:pPr>
            <w:r>
              <w:rPr>
                <w:sz w:val="21"/>
                <w:szCs w:val="21"/>
              </w:rPr>
              <w:t>385</w:t>
            </w:r>
          </w:p>
        </w:tc>
        <w:tc>
          <w:tcPr>
            <w:tcW w:w="1020" w:type="dxa"/>
          </w:tcPr>
          <w:p w:rsidR="008E7D53" w:rsidRDefault="0098666E">
            <w:pPr>
              <w:ind w:firstLineChars="0" w:firstLine="0"/>
              <w:jc w:val="center"/>
              <w:textAlignment w:val="baseline"/>
              <w:rPr>
                <w:sz w:val="21"/>
                <w:szCs w:val="21"/>
              </w:rPr>
            </w:pPr>
            <w:r>
              <w:rPr>
                <w:sz w:val="21"/>
                <w:szCs w:val="21"/>
              </w:rPr>
              <w:t>29</w:t>
            </w:r>
          </w:p>
        </w:tc>
        <w:tc>
          <w:tcPr>
            <w:tcW w:w="1121" w:type="dxa"/>
          </w:tcPr>
          <w:p w:rsidR="008E7D53" w:rsidRDefault="0098666E">
            <w:pPr>
              <w:ind w:firstLineChars="0" w:firstLine="0"/>
              <w:jc w:val="center"/>
              <w:textAlignment w:val="baseline"/>
              <w:rPr>
                <w:sz w:val="21"/>
                <w:szCs w:val="21"/>
              </w:rPr>
            </w:pPr>
            <w:r>
              <w:rPr>
                <w:sz w:val="21"/>
                <w:szCs w:val="21"/>
              </w:rPr>
              <w:t>9</w:t>
            </w:r>
          </w:p>
        </w:tc>
        <w:tc>
          <w:tcPr>
            <w:tcW w:w="1019" w:type="dxa"/>
          </w:tcPr>
          <w:p w:rsidR="008E7D53" w:rsidRDefault="0098666E">
            <w:pPr>
              <w:ind w:firstLineChars="0" w:firstLine="0"/>
              <w:jc w:val="center"/>
              <w:textAlignment w:val="baseline"/>
              <w:rPr>
                <w:sz w:val="21"/>
                <w:szCs w:val="21"/>
              </w:rPr>
            </w:pPr>
            <w:r>
              <w:rPr>
                <w:sz w:val="21"/>
                <w:szCs w:val="21"/>
              </w:rPr>
              <w:t>18</w:t>
            </w:r>
          </w:p>
        </w:tc>
      </w:tr>
      <w:tr w:rsidR="008E7D53">
        <w:trPr>
          <w:jc w:val="center"/>
        </w:trPr>
        <w:tc>
          <w:tcPr>
            <w:tcW w:w="1546" w:type="dxa"/>
            <w:vAlign w:val="center"/>
          </w:tcPr>
          <w:p w:rsidR="008E7D53" w:rsidRDefault="0098666E">
            <w:pPr>
              <w:ind w:firstLineChars="0" w:firstLine="0"/>
              <w:jc w:val="center"/>
              <w:textAlignment w:val="baseline"/>
              <w:rPr>
                <w:sz w:val="21"/>
                <w:szCs w:val="21"/>
              </w:rPr>
            </w:pPr>
            <w:r>
              <w:rPr>
                <w:kern w:val="0"/>
                <w:sz w:val="21"/>
                <w:szCs w:val="21"/>
              </w:rPr>
              <w:t>BOD</w:t>
            </w:r>
          </w:p>
        </w:tc>
        <w:tc>
          <w:tcPr>
            <w:tcW w:w="1041" w:type="dxa"/>
          </w:tcPr>
          <w:p w:rsidR="008E7D53" w:rsidRDefault="0098666E">
            <w:pPr>
              <w:ind w:firstLineChars="0" w:firstLine="0"/>
              <w:jc w:val="center"/>
              <w:textAlignment w:val="baseline"/>
              <w:rPr>
                <w:sz w:val="21"/>
                <w:szCs w:val="21"/>
              </w:rPr>
            </w:pPr>
            <w:r>
              <w:rPr>
                <w:sz w:val="21"/>
                <w:szCs w:val="21"/>
              </w:rPr>
              <w:t>386</w:t>
            </w:r>
          </w:p>
        </w:tc>
        <w:tc>
          <w:tcPr>
            <w:tcW w:w="1020" w:type="dxa"/>
          </w:tcPr>
          <w:p w:rsidR="008E7D53" w:rsidRDefault="0098666E">
            <w:pPr>
              <w:ind w:firstLineChars="0" w:firstLine="0"/>
              <w:jc w:val="center"/>
              <w:textAlignment w:val="baseline"/>
              <w:rPr>
                <w:sz w:val="21"/>
                <w:szCs w:val="21"/>
              </w:rPr>
            </w:pPr>
            <w:r>
              <w:rPr>
                <w:sz w:val="21"/>
                <w:szCs w:val="21"/>
              </w:rPr>
              <w:t>24</w:t>
            </w:r>
          </w:p>
        </w:tc>
        <w:tc>
          <w:tcPr>
            <w:tcW w:w="1535" w:type="dxa"/>
          </w:tcPr>
          <w:p w:rsidR="008E7D53" w:rsidRDefault="0098666E">
            <w:pPr>
              <w:ind w:firstLineChars="0" w:firstLine="0"/>
              <w:jc w:val="center"/>
              <w:textAlignment w:val="baseline"/>
              <w:rPr>
                <w:sz w:val="21"/>
                <w:szCs w:val="21"/>
              </w:rPr>
            </w:pPr>
            <w:r>
              <w:rPr>
                <w:sz w:val="21"/>
                <w:szCs w:val="21"/>
              </w:rPr>
              <w:t>155</w:t>
            </w:r>
          </w:p>
        </w:tc>
        <w:tc>
          <w:tcPr>
            <w:tcW w:w="1020" w:type="dxa"/>
          </w:tcPr>
          <w:p w:rsidR="008E7D53" w:rsidRDefault="0098666E">
            <w:pPr>
              <w:ind w:firstLineChars="0" w:firstLine="0"/>
              <w:jc w:val="center"/>
              <w:textAlignment w:val="baseline"/>
              <w:rPr>
                <w:sz w:val="21"/>
                <w:szCs w:val="21"/>
              </w:rPr>
            </w:pPr>
            <w:r>
              <w:rPr>
                <w:sz w:val="21"/>
                <w:szCs w:val="21"/>
              </w:rPr>
              <w:t>2.8</w:t>
            </w:r>
          </w:p>
        </w:tc>
        <w:tc>
          <w:tcPr>
            <w:tcW w:w="1121" w:type="dxa"/>
          </w:tcPr>
          <w:p w:rsidR="008E7D53" w:rsidRDefault="0098666E">
            <w:pPr>
              <w:ind w:firstLineChars="0" w:firstLine="0"/>
              <w:jc w:val="center"/>
              <w:textAlignment w:val="baseline"/>
              <w:rPr>
                <w:sz w:val="21"/>
                <w:szCs w:val="21"/>
              </w:rPr>
            </w:pPr>
            <w:r>
              <w:rPr>
                <w:sz w:val="21"/>
                <w:szCs w:val="21"/>
              </w:rPr>
              <w:t>2</w:t>
            </w:r>
          </w:p>
        </w:tc>
        <w:tc>
          <w:tcPr>
            <w:tcW w:w="1019" w:type="dxa"/>
          </w:tcPr>
          <w:p w:rsidR="008E7D53" w:rsidRDefault="0098666E">
            <w:pPr>
              <w:ind w:firstLineChars="0" w:firstLine="0"/>
              <w:jc w:val="center"/>
              <w:textAlignment w:val="baseline"/>
              <w:rPr>
                <w:sz w:val="21"/>
                <w:szCs w:val="21"/>
              </w:rPr>
            </w:pPr>
            <w:r>
              <w:rPr>
                <w:sz w:val="21"/>
                <w:szCs w:val="21"/>
              </w:rPr>
              <w:t>2.2</w:t>
            </w:r>
          </w:p>
        </w:tc>
      </w:tr>
      <w:tr w:rsidR="008E7D53">
        <w:trPr>
          <w:jc w:val="center"/>
        </w:trPr>
        <w:tc>
          <w:tcPr>
            <w:tcW w:w="1546" w:type="dxa"/>
            <w:vAlign w:val="center"/>
          </w:tcPr>
          <w:p w:rsidR="008E7D53" w:rsidRDefault="0098666E">
            <w:pPr>
              <w:ind w:firstLineChars="0" w:firstLine="0"/>
              <w:jc w:val="center"/>
              <w:textAlignment w:val="baseline"/>
              <w:rPr>
                <w:sz w:val="21"/>
                <w:szCs w:val="21"/>
              </w:rPr>
            </w:pPr>
            <w:r>
              <w:rPr>
                <w:kern w:val="0"/>
                <w:sz w:val="21"/>
                <w:szCs w:val="21"/>
              </w:rPr>
              <w:t>NH</w:t>
            </w:r>
            <w:r>
              <w:rPr>
                <w:kern w:val="0"/>
                <w:sz w:val="21"/>
                <w:szCs w:val="21"/>
                <w:vertAlign w:val="subscript"/>
              </w:rPr>
              <w:t>3</w:t>
            </w:r>
            <w:r>
              <w:rPr>
                <w:kern w:val="0"/>
                <w:sz w:val="21"/>
                <w:szCs w:val="21"/>
              </w:rPr>
              <w:t>-N</w:t>
            </w:r>
          </w:p>
        </w:tc>
        <w:tc>
          <w:tcPr>
            <w:tcW w:w="1041" w:type="dxa"/>
          </w:tcPr>
          <w:p w:rsidR="008E7D53" w:rsidRDefault="0098666E">
            <w:pPr>
              <w:ind w:firstLineChars="0" w:firstLine="0"/>
              <w:jc w:val="center"/>
              <w:textAlignment w:val="baseline"/>
              <w:rPr>
                <w:sz w:val="21"/>
                <w:szCs w:val="21"/>
              </w:rPr>
            </w:pPr>
            <w:r>
              <w:rPr>
                <w:sz w:val="21"/>
                <w:szCs w:val="21"/>
              </w:rPr>
              <w:t>48.4</w:t>
            </w:r>
          </w:p>
        </w:tc>
        <w:tc>
          <w:tcPr>
            <w:tcW w:w="1020" w:type="dxa"/>
          </w:tcPr>
          <w:p w:rsidR="008E7D53" w:rsidRDefault="0098666E">
            <w:pPr>
              <w:ind w:firstLineChars="0" w:firstLine="0"/>
              <w:jc w:val="center"/>
              <w:textAlignment w:val="baseline"/>
              <w:rPr>
                <w:sz w:val="21"/>
                <w:szCs w:val="21"/>
              </w:rPr>
            </w:pPr>
            <w:r>
              <w:rPr>
                <w:sz w:val="21"/>
                <w:szCs w:val="21"/>
              </w:rPr>
              <w:t>3.57</w:t>
            </w:r>
          </w:p>
        </w:tc>
        <w:tc>
          <w:tcPr>
            <w:tcW w:w="1535" w:type="dxa"/>
          </w:tcPr>
          <w:p w:rsidR="008E7D53" w:rsidRDefault="0098666E">
            <w:pPr>
              <w:ind w:firstLineChars="0" w:firstLine="0"/>
              <w:jc w:val="center"/>
              <w:textAlignment w:val="baseline"/>
              <w:rPr>
                <w:sz w:val="21"/>
                <w:szCs w:val="21"/>
              </w:rPr>
            </w:pPr>
            <w:r>
              <w:rPr>
                <w:sz w:val="21"/>
                <w:szCs w:val="21"/>
              </w:rPr>
              <w:t>28.7</w:t>
            </w:r>
          </w:p>
        </w:tc>
        <w:tc>
          <w:tcPr>
            <w:tcW w:w="1020" w:type="dxa"/>
          </w:tcPr>
          <w:p w:rsidR="008E7D53" w:rsidRDefault="0098666E">
            <w:pPr>
              <w:ind w:firstLineChars="0" w:firstLine="0"/>
              <w:jc w:val="center"/>
              <w:textAlignment w:val="baseline"/>
              <w:rPr>
                <w:sz w:val="21"/>
                <w:szCs w:val="21"/>
              </w:rPr>
            </w:pPr>
            <w:r>
              <w:rPr>
                <w:sz w:val="21"/>
                <w:szCs w:val="21"/>
              </w:rPr>
              <w:t>1.24</w:t>
            </w:r>
          </w:p>
        </w:tc>
        <w:tc>
          <w:tcPr>
            <w:tcW w:w="1121" w:type="dxa"/>
          </w:tcPr>
          <w:p w:rsidR="008E7D53" w:rsidRDefault="0098666E">
            <w:pPr>
              <w:ind w:firstLineChars="0" w:firstLine="0"/>
              <w:jc w:val="center"/>
              <w:textAlignment w:val="baseline"/>
              <w:rPr>
                <w:sz w:val="21"/>
                <w:szCs w:val="21"/>
              </w:rPr>
            </w:pPr>
            <w:r>
              <w:rPr>
                <w:sz w:val="21"/>
                <w:szCs w:val="21"/>
              </w:rPr>
              <w:t>0.024</w:t>
            </w:r>
          </w:p>
        </w:tc>
        <w:tc>
          <w:tcPr>
            <w:tcW w:w="1019" w:type="dxa"/>
          </w:tcPr>
          <w:p w:rsidR="008E7D53" w:rsidRDefault="0098666E">
            <w:pPr>
              <w:ind w:firstLineChars="0" w:firstLine="0"/>
              <w:jc w:val="center"/>
              <w:textAlignment w:val="baseline"/>
              <w:rPr>
                <w:sz w:val="21"/>
                <w:szCs w:val="21"/>
              </w:rPr>
            </w:pPr>
            <w:r>
              <w:rPr>
                <w:sz w:val="21"/>
                <w:szCs w:val="21"/>
              </w:rPr>
              <w:t>0.119</w:t>
            </w:r>
          </w:p>
        </w:tc>
      </w:tr>
      <w:tr w:rsidR="008E7D53">
        <w:trPr>
          <w:jc w:val="center"/>
        </w:trPr>
        <w:tc>
          <w:tcPr>
            <w:tcW w:w="1546" w:type="dxa"/>
            <w:vAlign w:val="center"/>
          </w:tcPr>
          <w:p w:rsidR="008E7D53" w:rsidRDefault="0098666E">
            <w:pPr>
              <w:ind w:firstLineChars="0" w:firstLine="0"/>
              <w:jc w:val="center"/>
              <w:textAlignment w:val="baseline"/>
              <w:rPr>
                <w:sz w:val="21"/>
                <w:szCs w:val="21"/>
              </w:rPr>
            </w:pPr>
            <w:r>
              <w:rPr>
                <w:kern w:val="0"/>
                <w:sz w:val="21"/>
                <w:szCs w:val="21"/>
              </w:rPr>
              <w:t>TN</w:t>
            </w:r>
          </w:p>
        </w:tc>
        <w:tc>
          <w:tcPr>
            <w:tcW w:w="1041" w:type="dxa"/>
          </w:tcPr>
          <w:p w:rsidR="008E7D53" w:rsidRDefault="0098666E">
            <w:pPr>
              <w:ind w:firstLineChars="0" w:firstLine="0"/>
              <w:jc w:val="center"/>
              <w:textAlignment w:val="baseline"/>
              <w:rPr>
                <w:sz w:val="21"/>
                <w:szCs w:val="21"/>
              </w:rPr>
            </w:pPr>
            <w:r>
              <w:rPr>
                <w:sz w:val="21"/>
                <w:szCs w:val="21"/>
              </w:rPr>
              <w:t>74</w:t>
            </w:r>
          </w:p>
        </w:tc>
        <w:tc>
          <w:tcPr>
            <w:tcW w:w="1020" w:type="dxa"/>
          </w:tcPr>
          <w:p w:rsidR="008E7D53" w:rsidRDefault="0098666E">
            <w:pPr>
              <w:ind w:firstLineChars="0" w:firstLine="0"/>
              <w:jc w:val="center"/>
              <w:textAlignment w:val="baseline"/>
              <w:rPr>
                <w:sz w:val="21"/>
                <w:szCs w:val="21"/>
              </w:rPr>
            </w:pPr>
            <w:r>
              <w:rPr>
                <w:sz w:val="21"/>
                <w:szCs w:val="21"/>
              </w:rPr>
              <w:t>7.48</w:t>
            </w:r>
          </w:p>
        </w:tc>
        <w:tc>
          <w:tcPr>
            <w:tcW w:w="1535" w:type="dxa"/>
          </w:tcPr>
          <w:p w:rsidR="008E7D53" w:rsidRDefault="0098666E">
            <w:pPr>
              <w:ind w:firstLineChars="0" w:firstLine="0"/>
              <w:jc w:val="center"/>
              <w:textAlignment w:val="baseline"/>
              <w:rPr>
                <w:sz w:val="21"/>
                <w:szCs w:val="21"/>
              </w:rPr>
            </w:pPr>
            <w:r>
              <w:rPr>
                <w:sz w:val="21"/>
                <w:szCs w:val="21"/>
              </w:rPr>
              <w:t>35</w:t>
            </w:r>
          </w:p>
        </w:tc>
        <w:tc>
          <w:tcPr>
            <w:tcW w:w="1020" w:type="dxa"/>
          </w:tcPr>
          <w:p w:rsidR="008E7D53" w:rsidRDefault="0098666E">
            <w:pPr>
              <w:ind w:firstLineChars="0" w:firstLine="0"/>
              <w:jc w:val="center"/>
              <w:textAlignment w:val="baseline"/>
              <w:rPr>
                <w:sz w:val="21"/>
                <w:szCs w:val="21"/>
              </w:rPr>
            </w:pPr>
            <w:r>
              <w:rPr>
                <w:sz w:val="21"/>
                <w:szCs w:val="21"/>
              </w:rPr>
              <w:t>10.9</w:t>
            </w:r>
          </w:p>
        </w:tc>
        <w:tc>
          <w:tcPr>
            <w:tcW w:w="1121" w:type="dxa"/>
          </w:tcPr>
          <w:p w:rsidR="008E7D53" w:rsidRDefault="0098666E">
            <w:pPr>
              <w:ind w:firstLineChars="0" w:firstLine="0"/>
              <w:jc w:val="center"/>
              <w:textAlignment w:val="baseline"/>
              <w:rPr>
                <w:sz w:val="21"/>
                <w:szCs w:val="21"/>
              </w:rPr>
            </w:pPr>
            <w:r>
              <w:rPr>
                <w:sz w:val="21"/>
                <w:szCs w:val="21"/>
              </w:rPr>
              <w:t>2.16</w:t>
            </w:r>
          </w:p>
        </w:tc>
        <w:tc>
          <w:tcPr>
            <w:tcW w:w="1019" w:type="dxa"/>
          </w:tcPr>
          <w:p w:rsidR="008E7D53" w:rsidRDefault="0098666E">
            <w:pPr>
              <w:ind w:firstLineChars="0" w:firstLine="0"/>
              <w:jc w:val="center"/>
              <w:textAlignment w:val="baseline"/>
              <w:rPr>
                <w:sz w:val="21"/>
                <w:szCs w:val="21"/>
              </w:rPr>
            </w:pPr>
            <w:r>
              <w:rPr>
                <w:sz w:val="21"/>
                <w:szCs w:val="21"/>
              </w:rPr>
              <w:t>7.25</w:t>
            </w:r>
          </w:p>
        </w:tc>
      </w:tr>
      <w:tr w:rsidR="008E7D53">
        <w:trPr>
          <w:jc w:val="center"/>
        </w:trPr>
        <w:tc>
          <w:tcPr>
            <w:tcW w:w="1546" w:type="dxa"/>
            <w:vAlign w:val="center"/>
          </w:tcPr>
          <w:p w:rsidR="008E7D53" w:rsidRDefault="0098666E">
            <w:pPr>
              <w:ind w:firstLineChars="0" w:firstLine="0"/>
              <w:jc w:val="center"/>
              <w:textAlignment w:val="baseline"/>
              <w:rPr>
                <w:sz w:val="21"/>
                <w:szCs w:val="21"/>
              </w:rPr>
            </w:pPr>
            <w:r>
              <w:rPr>
                <w:kern w:val="0"/>
                <w:sz w:val="21"/>
                <w:szCs w:val="21"/>
              </w:rPr>
              <w:t>TP</w:t>
            </w:r>
          </w:p>
        </w:tc>
        <w:tc>
          <w:tcPr>
            <w:tcW w:w="1041" w:type="dxa"/>
          </w:tcPr>
          <w:p w:rsidR="008E7D53" w:rsidRDefault="0098666E">
            <w:pPr>
              <w:ind w:firstLineChars="0" w:firstLine="0"/>
              <w:jc w:val="center"/>
              <w:textAlignment w:val="baseline"/>
              <w:rPr>
                <w:sz w:val="21"/>
                <w:szCs w:val="21"/>
              </w:rPr>
            </w:pPr>
            <w:r>
              <w:rPr>
                <w:sz w:val="21"/>
                <w:szCs w:val="21"/>
              </w:rPr>
              <w:t>12.1</w:t>
            </w:r>
          </w:p>
        </w:tc>
        <w:tc>
          <w:tcPr>
            <w:tcW w:w="1020" w:type="dxa"/>
          </w:tcPr>
          <w:p w:rsidR="008E7D53" w:rsidRDefault="0098666E">
            <w:pPr>
              <w:ind w:firstLineChars="0" w:firstLine="0"/>
              <w:jc w:val="center"/>
              <w:textAlignment w:val="baseline"/>
              <w:rPr>
                <w:sz w:val="21"/>
                <w:szCs w:val="21"/>
              </w:rPr>
            </w:pPr>
            <w:r>
              <w:rPr>
                <w:sz w:val="21"/>
                <w:szCs w:val="21"/>
              </w:rPr>
              <w:t>0.444</w:t>
            </w:r>
          </w:p>
        </w:tc>
        <w:tc>
          <w:tcPr>
            <w:tcW w:w="1535" w:type="dxa"/>
          </w:tcPr>
          <w:p w:rsidR="008E7D53" w:rsidRDefault="0098666E">
            <w:pPr>
              <w:ind w:firstLineChars="0" w:firstLine="0"/>
              <w:jc w:val="center"/>
              <w:textAlignment w:val="baseline"/>
              <w:rPr>
                <w:sz w:val="21"/>
                <w:szCs w:val="21"/>
              </w:rPr>
            </w:pPr>
            <w:r>
              <w:rPr>
                <w:sz w:val="21"/>
                <w:szCs w:val="21"/>
              </w:rPr>
              <w:t>4.38</w:t>
            </w:r>
          </w:p>
        </w:tc>
        <w:tc>
          <w:tcPr>
            <w:tcW w:w="1020" w:type="dxa"/>
          </w:tcPr>
          <w:p w:rsidR="008E7D53" w:rsidRDefault="0098666E">
            <w:pPr>
              <w:ind w:firstLineChars="0" w:firstLine="0"/>
              <w:jc w:val="center"/>
              <w:textAlignment w:val="baseline"/>
              <w:rPr>
                <w:sz w:val="21"/>
                <w:szCs w:val="21"/>
              </w:rPr>
            </w:pPr>
            <w:r>
              <w:rPr>
                <w:sz w:val="21"/>
                <w:szCs w:val="21"/>
              </w:rPr>
              <w:t>0.301</w:t>
            </w:r>
          </w:p>
        </w:tc>
        <w:tc>
          <w:tcPr>
            <w:tcW w:w="1121" w:type="dxa"/>
          </w:tcPr>
          <w:p w:rsidR="008E7D53" w:rsidRDefault="0098666E">
            <w:pPr>
              <w:ind w:firstLineChars="0" w:firstLine="0"/>
              <w:jc w:val="center"/>
              <w:textAlignment w:val="baseline"/>
              <w:rPr>
                <w:sz w:val="21"/>
                <w:szCs w:val="21"/>
              </w:rPr>
            </w:pPr>
            <w:r>
              <w:rPr>
                <w:sz w:val="21"/>
                <w:szCs w:val="21"/>
              </w:rPr>
              <w:t>0.02</w:t>
            </w:r>
          </w:p>
        </w:tc>
        <w:tc>
          <w:tcPr>
            <w:tcW w:w="1019" w:type="dxa"/>
          </w:tcPr>
          <w:p w:rsidR="008E7D53" w:rsidRDefault="0098666E">
            <w:pPr>
              <w:ind w:firstLineChars="0" w:firstLine="0"/>
              <w:jc w:val="center"/>
              <w:textAlignment w:val="baseline"/>
              <w:rPr>
                <w:sz w:val="21"/>
                <w:szCs w:val="21"/>
              </w:rPr>
            </w:pPr>
            <w:r>
              <w:rPr>
                <w:sz w:val="21"/>
                <w:szCs w:val="21"/>
              </w:rPr>
              <w:t>0.09</w:t>
            </w:r>
          </w:p>
        </w:tc>
      </w:tr>
      <w:tr w:rsidR="008E7D53">
        <w:trPr>
          <w:jc w:val="center"/>
        </w:trPr>
        <w:tc>
          <w:tcPr>
            <w:tcW w:w="1546" w:type="dxa"/>
            <w:vAlign w:val="center"/>
          </w:tcPr>
          <w:p w:rsidR="008E7D53" w:rsidRDefault="0098666E">
            <w:pPr>
              <w:ind w:firstLineChars="0" w:firstLine="0"/>
              <w:jc w:val="center"/>
              <w:textAlignment w:val="baseline"/>
              <w:rPr>
                <w:sz w:val="21"/>
                <w:szCs w:val="21"/>
              </w:rPr>
            </w:pPr>
            <w:r>
              <w:rPr>
                <w:kern w:val="0"/>
                <w:sz w:val="21"/>
                <w:szCs w:val="21"/>
              </w:rPr>
              <w:t>SS</w:t>
            </w:r>
          </w:p>
        </w:tc>
        <w:tc>
          <w:tcPr>
            <w:tcW w:w="1041" w:type="dxa"/>
          </w:tcPr>
          <w:p w:rsidR="008E7D53" w:rsidRDefault="0098666E">
            <w:pPr>
              <w:ind w:firstLineChars="0" w:firstLine="0"/>
              <w:jc w:val="center"/>
              <w:textAlignment w:val="baseline"/>
              <w:rPr>
                <w:sz w:val="21"/>
                <w:szCs w:val="21"/>
              </w:rPr>
            </w:pPr>
            <w:r>
              <w:rPr>
                <w:sz w:val="21"/>
                <w:szCs w:val="21"/>
              </w:rPr>
              <w:t>550</w:t>
            </w:r>
          </w:p>
        </w:tc>
        <w:tc>
          <w:tcPr>
            <w:tcW w:w="1020" w:type="dxa"/>
          </w:tcPr>
          <w:p w:rsidR="008E7D53" w:rsidRDefault="0098666E">
            <w:pPr>
              <w:ind w:firstLineChars="0" w:firstLine="0"/>
              <w:jc w:val="center"/>
              <w:textAlignment w:val="baseline"/>
              <w:rPr>
                <w:sz w:val="21"/>
                <w:szCs w:val="21"/>
              </w:rPr>
            </w:pPr>
            <w:r>
              <w:rPr>
                <w:sz w:val="21"/>
                <w:szCs w:val="21"/>
              </w:rPr>
              <w:t>13</w:t>
            </w:r>
          </w:p>
        </w:tc>
        <w:tc>
          <w:tcPr>
            <w:tcW w:w="1535" w:type="dxa"/>
          </w:tcPr>
          <w:p w:rsidR="008E7D53" w:rsidRDefault="0098666E">
            <w:pPr>
              <w:ind w:firstLineChars="0" w:firstLine="0"/>
              <w:jc w:val="center"/>
              <w:textAlignment w:val="baseline"/>
              <w:rPr>
                <w:sz w:val="21"/>
                <w:szCs w:val="21"/>
              </w:rPr>
            </w:pPr>
            <w:r>
              <w:rPr>
                <w:sz w:val="21"/>
                <w:szCs w:val="21"/>
              </w:rPr>
              <w:t>152</w:t>
            </w:r>
          </w:p>
        </w:tc>
        <w:tc>
          <w:tcPr>
            <w:tcW w:w="1020" w:type="dxa"/>
          </w:tcPr>
          <w:p w:rsidR="008E7D53" w:rsidRDefault="0098666E">
            <w:pPr>
              <w:ind w:firstLineChars="0" w:firstLine="0"/>
              <w:jc w:val="center"/>
              <w:textAlignment w:val="baseline"/>
              <w:rPr>
                <w:sz w:val="21"/>
                <w:szCs w:val="21"/>
              </w:rPr>
            </w:pPr>
            <w:r>
              <w:rPr>
                <w:sz w:val="21"/>
                <w:szCs w:val="21"/>
              </w:rPr>
              <w:t>7</w:t>
            </w:r>
          </w:p>
        </w:tc>
        <w:tc>
          <w:tcPr>
            <w:tcW w:w="1121" w:type="dxa"/>
          </w:tcPr>
          <w:p w:rsidR="008E7D53" w:rsidRDefault="0098666E">
            <w:pPr>
              <w:ind w:firstLineChars="0" w:firstLine="0"/>
              <w:jc w:val="center"/>
              <w:textAlignment w:val="baseline"/>
              <w:rPr>
                <w:sz w:val="21"/>
                <w:szCs w:val="21"/>
              </w:rPr>
            </w:pPr>
            <w:r>
              <w:rPr>
                <w:sz w:val="21"/>
                <w:szCs w:val="21"/>
              </w:rPr>
              <w:t>4</w:t>
            </w:r>
          </w:p>
        </w:tc>
        <w:tc>
          <w:tcPr>
            <w:tcW w:w="1019" w:type="dxa"/>
          </w:tcPr>
          <w:p w:rsidR="008E7D53" w:rsidRDefault="0098666E">
            <w:pPr>
              <w:ind w:firstLineChars="0" w:firstLine="0"/>
              <w:jc w:val="center"/>
              <w:textAlignment w:val="baseline"/>
              <w:rPr>
                <w:sz w:val="21"/>
                <w:szCs w:val="21"/>
              </w:rPr>
            </w:pPr>
            <w:r>
              <w:rPr>
                <w:sz w:val="21"/>
                <w:szCs w:val="21"/>
              </w:rPr>
              <w:t>4</w:t>
            </w:r>
          </w:p>
        </w:tc>
      </w:tr>
    </w:tbl>
    <w:p w:rsidR="008E7D53" w:rsidRDefault="008E7D53">
      <w:pPr>
        <w:ind w:firstLine="480"/>
        <w:textAlignment w:val="baseline"/>
        <w:rPr>
          <w:szCs w:val="24"/>
        </w:rPr>
      </w:pPr>
    </w:p>
    <w:p w:rsidR="008E7D53" w:rsidRDefault="0098666E">
      <w:pPr>
        <w:ind w:firstLine="480"/>
        <w:textAlignment w:val="baseline"/>
        <w:rPr>
          <w:szCs w:val="24"/>
        </w:rPr>
      </w:pPr>
      <w:r>
        <w:rPr>
          <w:rFonts w:hint="eastAsia"/>
          <w:szCs w:val="24"/>
        </w:rPr>
        <w:t>每千克总污染物去除电耗</w:t>
      </w:r>
      <w:r>
        <w:rPr>
          <w:rFonts w:hint="eastAsia"/>
          <w:szCs w:val="24"/>
        </w:rPr>
        <w:t>=</w:t>
      </w:r>
      <w:r>
        <w:rPr>
          <w:rFonts w:hint="eastAsia"/>
          <w:szCs w:val="24"/>
        </w:rPr>
        <w:t>1612.68</w:t>
      </w:r>
      <w:r>
        <w:rPr>
          <w:rFonts w:hint="eastAsia"/>
          <w:szCs w:val="24"/>
        </w:rPr>
        <w:sym w:font="Wingdings 2" w:char="F0CD"/>
      </w:r>
      <w:r>
        <w:rPr>
          <w:szCs w:val="24"/>
        </w:rPr>
        <w:t>1000</w:t>
      </w:r>
      <w:r>
        <w:rPr>
          <w:rFonts w:hint="eastAsia"/>
          <w:szCs w:val="24"/>
        </w:rPr>
        <w:t>/</w:t>
      </w:r>
      <w:r>
        <w:rPr>
          <w:rFonts w:hint="eastAsia"/>
          <w:szCs w:val="24"/>
        </w:rPr>
        <w:t>（</w:t>
      </w:r>
      <w:r>
        <w:rPr>
          <w:szCs w:val="24"/>
        </w:rPr>
        <w:t>365</w:t>
      </w:r>
      <w:r>
        <w:rPr>
          <w:rFonts w:hint="eastAsia"/>
          <w:szCs w:val="24"/>
        </w:rPr>
        <w:sym w:font="Wingdings 2" w:char="F0CD"/>
      </w:r>
      <w:r>
        <w:rPr>
          <w:szCs w:val="24"/>
        </w:rPr>
        <w:t>13.46</w:t>
      </w:r>
      <w:r>
        <w:rPr>
          <w:rFonts w:hint="eastAsia"/>
          <w:szCs w:val="24"/>
        </w:rPr>
        <w:sym w:font="Wingdings 2" w:char="F0CD"/>
      </w:r>
      <w:r>
        <w:rPr>
          <w:rFonts w:hint="eastAsia"/>
          <w:szCs w:val="24"/>
        </w:rPr>
        <w:t>（（</w:t>
      </w:r>
      <w:r>
        <w:rPr>
          <w:szCs w:val="24"/>
        </w:rPr>
        <w:t>385-18</w:t>
      </w:r>
      <w:r>
        <w:rPr>
          <w:rFonts w:hint="eastAsia"/>
          <w:szCs w:val="24"/>
        </w:rPr>
        <w:t>）</w:t>
      </w:r>
      <w:r>
        <w:rPr>
          <w:szCs w:val="24"/>
        </w:rPr>
        <w:t>+2</w:t>
      </w:r>
      <w:r>
        <w:rPr>
          <w:rFonts w:hint="eastAsia"/>
          <w:szCs w:val="24"/>
        </w:rPr>
        <w:t>（</w:t>
      </w:r>
      <w:r>
        <w:rPr>
          <w:szCs w:val="24"/>
        </w:rPr>
        <w:t>155-2.2</w:t>
      </w:r>
      <w:r>
        <w:rPr>
          <w:rFonts w:hint="eastAsia"/>
          <w:szCs w:val="24"/>
        </w:rPr>
        <w:t>）</w:t>
      </w:r>
      <w:r>
        <w:rPr>
          <w:szCs w:val="24"/>
        </w:rPr>
        <w:t>+2</w:t>
      </w:r>
      <w:r>
        <w:rPr>
          <w:rFonts w:hint="eastAsia"/>
          <w:szCs w:val="24"/>
        </w:rPr>
        <w:t>（</w:t>
      </w:r>
      <w:r>
        <w:rPr>
          <w:szCs w:val="24"/>
        </w:rPr>
        <w:t>152-4</w:t>
      </w:r>
      <w:r>
        <w:rPr>
          <w:rFonts w:hint="eastAsia"/>
          <w:szCs w:val="24"/>
        </w:rPr>
        <w:t>）</w:t>
      </w:r>
      <w:r>
        <w:rPr>
          <w:szCs w:val="24"/>
        </w:rPr>
        <w:t>+20</w:t>
      </w:r>
      <w:r>
        <w:rPr>
          <w:rFonts w:hint="eastAsia"/>
          <w:szCs w:val="24"/>
        </w:rPr>
        <w:t>（</w:t>
      </w:r>
      <w:r>
        <w:rPr>
          <w:szCs w:val="24"/>
        </w:rPr>
        <w:t>35-7.25</w:t>
      </w:r>
      <w:r>
        <w:rPr>
          <w:rFonts w:hint="eastAsia"/>
          <w:szCs w:val="24"/>
        </w:rPr>
        <w:t>）</w:t>
      </w:r>
      <w:r>
        <w:rPr>
          <w:szCs w:val="24"/>
        </w:rPr>
        <w:t>+100</w:t>
      </w:r>
      <w:r>
        <w:rPr>
          <w:rFonts w:hint="eastAsia"/>
          <w:szCs w:val="24"/>
        </w:rPr>
        <w:t>（</w:t>
      </w:r>
      <w:r>
        <w:rPr>
          <w:szCs w:val="24"/>
        </w:rPr>
        <w:t>4.38-0.09</w:t>
      </w:r>
      <w:r>
        <w:rPr>
          <w:rFonts w:hint="eastAsia"/>
          <w:szCs w:val="24"/>
        </w:rPr>
        <w:t>））</w:t>
      </w:r>
      <w:r>
        <w:rPr>
          <w:rFonts w:hint="eastAsia"/>
          <w:szCs w:val="24"/>
        </w:rPr>
        <w:t>=</w:t>
      </w:r>
      <w:r>
        <w:rPr>
          <w:szCs w:val="24"/>
        </w:rPr>
        <w:t xml:space="preserve">0.168 </w:t>
      </w:r>
      <w:r>
        <w:rPr>
          <w:rFonts w:hint="eastAsia"/>
          <w:szCs w:val="24"/>
        </w:rPr>
        <w:t>（</w:t>
      </w:r>
      <w:r>
        <w:rPr>
          <w:szCs w:val="24"/>
        </w:rPr>
        <w:t xml:space="preserve">kW·h/kg </w:t>
      </w:r>
      <w:r>
        <w:rPr>
          <w:rFonts w:hint="eastAsia"/>
          <w:szCs w:val="24"/>
        </w:rPr>
        <w:t>总污染物</w:t>
      </w:r>
      <w:r>
        <w:rPr>
          <w:rFonts w:hint="eastAsia"/>
          <w:szCs w:val="24"/>
        </w:rPr>
        <w:t>）。</w:t>
      </w:r>
    </w:p>
    <w:p w:rsidR="008E7D53" w:rsidRDefault="0098666E">
      <w:pPr>
        <w:ind w:firstLine="480"/>
        <w:textAlignment w:val="baseline"/>
        <w:rPr>
          <w:iCs/>
          <w:sz w:val="20"/>
          <w:szCs w:val="24"/>
        </w:rPr>
      </w:pPr>
      <w:r>
        <w:rPr>
          <w:rFonts w:hint="eastAsia"/>
          <w:iCs/>
          <w:szCs w:val="24"/>
        </w:rPr>
        <w:t>参照《江苏省城镇污水处理厂运行管理考核标准》，</w:t>
      </w:r>
      <w:r>
        <w:rPr>
          <w:iCs/>
          <w:szCs w:val="24"/>
        </w:rPr>
        <w:t>0.328</w:t>
      </w:r>
      <w:r>
        <w:rPr>
          <w:rFonts w:hint="eastAsia"/>
          <w:iCs/>
          <w:szCs w:val="24"/>
        </w:rPr>
        <w:t>&lt;</w:t>
      </w:r>
      <w:r>
        <w:rPr>
          <w:iCs/>
          <w:szCs w:val="24"/>
        </w:rPr>
        <w:t>0.35</w:t>
      </w:r>
      <w:r>
        <w:rPr>
          <w:rFonts w:hint="eastAsia"/>
          <w:iCs/>
          <w:szCs w:val="24"/>
        </w:rPr>
        <w:t>，属于中等偏低能耗，和我们采用每千克总污染物去除电耗指标评价结果一致。</w:t>
      </w:r>
    </w:p>
    <w:p w:rsidR="008E7D53" w:rsidRDefault="0098666E">
      <w:pPr>
        <w:pStyle w:val="affe"/>
        <w:numPr>
          <w:ilvl w:val="0"/>
          <w:numId w:val="8"/>
        </w:numPr>
        <w:ind w:left="0" w:firstLine="480"/>
        <w:textAlignment w:val="baseline"/>
        <w:rPr>
          <w:szCs w:val="24"/>
        </w:rPr>
      </w:pPr>
      <w:r>
        <w:rPr>
          <w:rFonts w:hint="eastAsia"/>
          <w:szCs w:val="24"/>
        </w:rPr>
        <w:t>镇江某城镇污水处理厂：其设计规模为</w:t>
      </w:r>
      <w:r>
        <w:rPr>
          <w:szCs w:val="24"/>
        </w:rPr>
        <w:t>2</w:t>
      </w:r>
      <w:r>
        <w:rPr>
          <w:rFonts w:hint="eastAsia"/>
          <w:szCs w:val="24"/>
        </w:rPr>
        <w:t>万吨</w:t>
      </w:r>
      <w:r>
        <w:rPr>
          <w:szCs w:val="24"/>
        </w:rPr>
        <w:t>/</w:t>
      </w:r>
      <w:r>
        <w:rPr>
          <w:rFonts w:hint="eastAsia"/>
          <w:szCs w:val="24"/>
        </w:rPr>
        <w:t>天，实际处理量为</w:t>
      </w:r>
      <w:r>
        <w:rPr>
          <w:szCs w:val="24"/>
        </w:rPr>
        <w:lastRenderedPageBreak/>
        <w:t>459.24</w:t>
      </w:r>
      <w:r>
        <w:rPr>
          <w:rFonts w:hint="eastAsia"/>
          <w:szCs w:val="24"/>
        </w:rPr>
        <w:t>万吨</w:t>
      </w:r>
      <w:r>
        <w:rPr>
          <w:szCs w:val="24"/>
        </w:rPr>
        <w:t>/</w:t>
      </w:r>
      <w:r>
        <w:rPr>
          <w:rFonts w:hint="eastAsia"/>
          <w:szCs w:val="24"/>
        </w:rPr>
        <w:t>年。其采用的处理工艺为</w:t>
      </w:r>
      <w:r>
        <w:rPr>
          <w:rFonts w:hint="eastAsia"/>
          <w:szCs w:val="24"/>
        </w:rPr>
        <w:t>A</w:t>
      </w:r>
      <w:r>
        <w:rPr>
          <w:szCs w:val="24"/>
          <w:vertAlign w:val="superscript"/>
        </w:rPr>
        <w:t>2</w:t>
      </w:r>
      <w:r>
        <w:rPr>
          <w:szCs w:val="24"/>
        </w:rPr>
        <w:t>/O</w:t>
      </w:r>
      <w:r>
        <w:rPr>
          <w:rFonts w:hint="eastAsia"/>
          <w:szCs w:val="24"/>
        </w:rPr>
        <w:t>，该厂吨水电耗为</w:t>
      </w:r>
      <w:r>
        <w:rPr>
          <w:szCs w:val="24"/>
        </w:rPr>
        <w:t xml:space="preserve">0.289 </w:t>
      </w:r>
      <w:r>
        <w:rPr>
          <w:kern w:val="0"/>
          <w:szCs w:val="24"/>
        </w:rPr>
        <w:t>kW·h/m</w:t>
      </w:r>
      <w:r>
        <w:rPr>
          <w:kern w:val="0"/>
          <w:szCs w:val="24"/>
          <w:vertAlign w:val="superscript"/>
        </w:rPr>
        <w:t>3</w:t>
      </w:r>
      <w:r>
        <w:rPr>
          <w:kern w:val="0"/>
          <w:szCs w:val="24"/>
        </w:rPr>
        <w:t>，</w:t>
      </w:r>
      <w:r>
        <w:rPr>
          <w:rFonts w:hint="eastAsia"/>
          <w:kern w:val="0"/>
          <w:szCs w:val="24"/>
        </w:rPr>
        <w:t>全厂年耗电量为</w:t>
      </w:r>
      <w:r>
        <w:rPr>
          <w:bCs/>
          <w:kern w:val="0"/>
          <w:szCs w:val="24"/>
        </w:rPr>
        <w:t>132.8422</w:t>
      </w:r>
      <w:r>
        <w:rPr>
          <w:rFonts w:hint="eastAsia"/>
          <w:bCs/>
          <w:kern w:val="0"/>
          <w:szCs w:val="24"/>
        </w:rPr>
        <w:sym w:font="Wingdings 2" w:char="F0CD"/>
      </w:r>
      <w:r>
        <w:rPr>
          <w:rFonts w:hint="eastAsia"/>
          <w:szCs w:val="24"/>
        </w:rPr>
        <w:t>1</w:t>
      </w:r>
      <w:r>
        <w:rPr>
          <w:szCs w:val="24"/>
        </w:rPr>
        <w:t>0</w:t>
      </w:r>
      <w:r>
        <w:rPr>
          <w:szCs w:val="24"/>
          <w:vertAlign w:val="superscript"/>
        </w:rPr>
        <w:t>4</w:t>
      </w:r>
      <w:r>
        <w:rPr>
          <w:szCs w:val="24"/>
        </w:rPr>
        <w:t xml:space="preserve"> kW·h</w:t>
      </w:r>
      <w:r>
        <w:rPr>
          <w:rFonts w:hint="eastAsia"/>
          <w:szCs w:val="24"/>
        </w:rPr>
        <w:t>，排放执行国标一级</w:t>
      </w:r>
      <w:r>
        <w:rPr>
          <w:rFonts w:hint="eastAsia"/>
          <w:szCs w:val="24"/>
        </w:rPr>
        <w:t>A</w:t>
      </w:r>
      <w:r>
        <w:rPr>
          <w:rFonts w:hint="eastAsia"/>
          <w:szCs w:val="24"/>
        </w:rPr>
        <w:t>，其</w:t>
      </w:r>
      <w:r>
        <w:rPr>
          <w:rFonts w:hint="eastAsia"/>
          <w:szCs w:val="24"/>
        </w:rPr>
        <w:t>2</w:t>
      </w:r>
      <w:r>
        <w:rPr>
          <w:szCs w:val="24"/>
        </w:rPr>
        <w:t>020</w:t>
      </w:r>
      <w:r>
        <w:rPr>
          <w:rFonts w:hint="eastAsia"/>
          <w:szCs w:val="24"/>
        </w:rPr>
        <w:t>年的实际水质指标年均值如表</w:t>
      </w:r>
      <w:r>
        <w:rPr>
          <w:szCs w:val="24"/>
        </w:rPr>
        <w:t>4-8</w:t>
      </w:r>
      <w:r>
        <w:rPr>
          <w:rFonts w:hint="eastAsia"/>
          <w:szCs w:val="24"/>
        </w:rPr>
        <w:t>所示。</w:t>
      </w:r>
    </w:p>
    <w:p w:rsidR="008E7D53" w:rsidRDefault="0098666E">
      <w:pPr>
        <w:ind w:firstLineChars="0" w:firstLine="0"/>
        <w:jc w:val="center"/>
        <w:textAlignment w:val="baseline"/>
        <w:rPr>
          <w:sz w:val="16"/>
          <w:szCs w:val="24"/>
        </w:rPr>
      </w:pPr>
      <w:r>
        <w:rPr>
          <w:rFonts w:hint="eastAsia"/>
          <w:sz w:val="21"/>
        </w:rPr>
        <w:t>表</w:t>
      </w:r>
      <w:r>
        <w:rPr>
          <w:sz w:val="21"/>
        </w:rPr>
        <w:t xml:space="preserve">4-8 </w:t>
      </w:r>
      <w:r>
        <w:rPr>
          <w:rFonts w:hint="eastAsia"/>
          <w:sz w:val="21"/>
          <w:szCs w:val="24"/>
        </w:rPr>
        <w:t>镇江某城镇污水处理厂</w:t>
      </w:r>
      <w:r>
        <w:rPr>
          <w:sz w:val="21"/>
          <w:szCs w:val="24"/>
        </w:rPr>
        <w:t>2020</w:t>
      </w:r>
      <w:r>
        <w:rPr>
          <w:rFonts w:hint="eastAsia"/>
          <w:sz w:val="21"/>
          <w:szCs w:val="24"/>
        </w:rPr>
        <w:t>年水质指标年均值</w:t>
      </w:r>
    </w:p>
    <w:tbl>
      <w:tblPr>
        <w:tblStyle w:val="aff5"/>
        <w:tblW w:w="0" w:type="auto"/>
        <w:jc w:val="center"/>
        <w:tblLook w:val="04A0" w:firstRow="1" w:lastRow="0" w:firstColumn="1" w:lastColumn="0" w:noHBand="0" w:noVBand="1"/>
      </w:tblPr>
      <w:tblGrid>
        <w:gridCol w:w="1216"/>
        <w:gridCol w:w="1084"/>
        <w:gridCol w:w="1085"/>
        <w:gridCol w:w="1085"/>
        <w:gridCol w:w="1200"/>
        <w:gridCol w:w="1316"/>
        <w:gridCol w:w="1316"/>
      </w:tblGrid>
      <w:tr w:rsidR="008E7D53">
        <w:trPr>
          <w:jc w:val="center"/>
        </w:trPr>
        <w:tc>
          <w:tcPr>
            <w:tcW w:w="1216" w:type="dxa"/>
            <w:vMerge w:val="restart"/>
            <w:vAlign w:val="center"/>
          </w:tcPr>
          <w:p w:rsidR="008E7D53" w:rsidRDefault="0098666E">
            <w:pPr>
              <w:ind w:firstLineChars="0" w:firstLine="0"/>
              <w:jc w:val="center"/>
              <w:textAlignment w:val="baseline"/>
              <w:rPr>
                <w:sz w:val="21"/>
                <w:szCs w:val="21"/>
              </w:rPr>
            </w:pPr>
            <w:r>
              <w:rPr>
                <w:sz w:val="21"/>
                <w:szCs w:val="21"/>
              </w:rPr>
              <w:t>污染物（</w:t>
            </w:r>
            <w:r>
              <w:rPr>
                <w:sz w:val="21"/>
                <w:szCs w:val="21"/>
              </w:rPr>
              <w:t>mg/L</w:t>
            </w:r>
            <w:r>
              <w:rPr>
                <w:sz w:val="21"/>
                <w:szCs w:val="21"/>
              </w:rPr>
              <w:t>）</w:t>
            </w:r>
          </w:p>
        </w:tc>
        <w:tc>
          <w:tcPr>
            <w:tcW w:w="3254" w:type="dxa"/>
            <w:gridSpan w:val="3"/>
            <w:vAlign w:val="center"/>
          </w:tcPr>
          <w:p w:rsidR="008E7D53" w:rsidRDefault="0098666E">
            <w:pPr>
              <w:ind w:firstLineChars="0" w:firstLine="0"/>
              <w:jc w:val="center"/>
              <w:textAlignment w:val="baseline"/>
              <w:rPr>
                <w:sz w:val="21"/>
                <w:szCs w:val="21"/>
              </w:rPr>
            </w:pPr>
            <w:r>
              <w:rPr>
                <w:kern w:val="0"/>
                <w:sz w:val="21"/>
                <w:szCs w:val="21"/>
              </w:rPr>
              <w:t>进水</w:t>
            </w:r>
          </w:p>
        </w:tc>
        <w:tc>
          <w:tcPr>
            <w:tcW w:w="3832" w:type="dxa"/>
            <w:gridSpan w:val="3"/>
            <w:vAlign w:val="center"/>
          </w:tcPr>
          <w:p w:rsidR="008E7D53" w:rsidRDefault="0098666E">
            <w:pPr>
              <w:ind w:firstLineChars="0" w:firstLine="0"/>
              <w:jc w:val="center"/>
              <w:textAlignment w:val="baseline"/>
              <w:rPr>
                <w:sz w:val="21"/>
                <w:szCs w:val="21"/>
              </w:rPr>
            </w:pPr>
            <w:r>
              <w:rPr>
                <w:kern w:val="0"/>
                <w:sz w:val="21"/>
                <w:szCs w:val="21"/>
              </w:rPr>
              <w:t>出水</w:t>
            </w:r>
          </w:p>
        </w:tc>
      </w:tr>
      <w:tr w:rsidR="008E7D53">
        <w:trPr>
          <w:jc w:val="center"/>
        </w:trPr>
        <w:tc>
          <w:tcPr>
            <w:tcW w:w="1216" w:type="dxa"/>
            <w:vMerge/>
            <w:vAlign w:val="center"/>
          </w:tcPr>
          <w:p w:rsidR="008E7D53" w:rsidRDefault="008E7D53">
            <w:pPr>
              <w:ind w:firstLineChars="0" w:firstLine="0"/>
              <w:jc w:val="center"/>
              <w:textAlignment w:val="baseline"/>
              <w:rPr>
                <w:sz w:val="21"/>
                <w:szCs w:val="21"/>
              </w:rPr>
            </w:pPr>
          </w:p>
        </w:tc>
        <w:tc>
          <w:tcPr>
            <w:tcW w:w="1084" w:type="dxa"/>
            <w:vAlign w:val="center"/>
          </w:tcPr>
          <w:p w:rsidR="008E7D53" w:rsidRDefault="0098666E">
            <w:pPr>
              <w:ind w:firstLineChars="0" w:firstLine="0"/>
              <w:jc w:val="center"/>
              <w:textAlignment w:val="baseline"/>
              <w:rPr>
                <w:sz w:val="21"/>
                <w:szCs w:val="21"/>
              </w:rPr>
            </w:pPr>
            <w:r>
              <w:rPr>
                <w:kern w:val="0"/>
                <w:sz w:val="21"/>
                <w:szCs w:val="21"/>
              </w:rPr>
              <w:t>最高</w:t>
            </w:r>
          </w:p>
        </w:tc>
        <w:tc>
          <w:tcPr>
            <w:tcW w:w="1085" w:type="dxa"/>
            <w:vAlign w:val="center"/>
          </w:tcPr>
          <w:p w:rsidR="008E7D53" w:rsidRDefault="0098666E">
            <w:pPr>
              <w:ind w:firstLineChars="0" w:firstLine="0"/>
              <w:jc w:val="center"/>
              <w:textAlignment w:val="baseline"/>
              <w:rPr>
                <w:sz w:val="21"/>
                <w:szCs w:val="21"/>
              </w:rPr>
            </w:pPr>
            <w:r>
              <w:rPr>
                <w:kern w:val="0"/>
                <w:sz w:val="21"/>
                <w:szCs w:val="21"/>
              </w:rPr>
              <w:t>最低</w:t>
            </w:r>
          </w:p>
        </w:tc>
        <w:tc>
          <w:tcPr>
            <w:tcW w:w="1085" w:type="dxa"/>
            <w:vAlign w:val="center"/>
          </w:tcPr>
          <w:p w:rsidR="008E7D53" w:rsidRDefault="0098666E">
            <w:pPr>
              <w:ind w:firstLineChars="0" w:firstLine="0"/>
              <w:jc w:val="center"/>
              <w:textAlignment w:val="baseline"/>
              <w:rPr>
                <w:sz w:val="21"/>
                <w:szCs w:val="21"/>
              </w:rPr>
            </w:pPr>
            <w:r>
              <w:rPr>
                <w:kern w:val="0"/>
                <w:sz w:val="21"/>
                <w:szCs w:val="21"/>
              </w:rPr>
              <w:t>平均</w:t>
            </w:r>
          </w:p>
        </w:tc>
        <w:tc>
          <w:tcPr>
            <w:tcW w:w="1200" w:type="dxa"/>
            <w:vAlign w:val="center"/>
          </w:tcPr>
          <w:p w:rsidR="008E7D53" w:rsidRDefault="0098666E">
            <w:pPr>
              <w:ind w:firstLineChars="0" w:firstLine="0"/>
              <w:jc w:val="center"/>
              <w:textAlignment w:val="baseline"/>
              <w:rPr>
                <w:sz w:val="21"/>
                <w:szCs w:val="21"/>
              </w:rPr>
            </w:pPr>
            <w:r>
              <w:rPr>
                <w:kern w:val="0"/>
                <w:sz w:val="21"/>
                <w:szCs w:val="21"/>
              </w:rPr>
              <w:t>最高</w:t>
            </w:r>
          </w:p>
        </w:tc>
        <w:tc>
          <w:tcPr>
            <w:tcW w:w="1316" w:type="dxa"/>
            <w:vAlign w:val="center"/>
          </w:tcPr>
          <w:p w:rsidR="008E7D53" w:rsidRDefault="0098666E">
            <w:pPr>
              <w:ind w:firstLineChars="0" w:firstLine="0"/>
              <w:jc w:val="center"/>
              <w:textAlignment w:val="baseline"/>
              <w:rPr>
                <w:sz w:val="21"/>
                <w:szCs w:val="21"/>
              </w:rPr>
            </w:pPr>
            <w:r>
              <w:rPr>
                <w:kern w:val="0"/>
                <w:sz w:val="21"/>
                <w:szCs w:val="21"/>
              </w:rPr>
              <w:t>最低</w:t>
            </w:r>
          </w:p>
        </w:tc>
        <w:tc>
          <w:tcPr>
            <w:tcW w:w="1316" w:type="dxa"/>
            <w:vAlign w:val="center"/>
          </w:tcPr>
          <w:p w:rsidR="008E7D53" w:rsidRDefault="0098666E">
            <w:pPr>
              <w:ind w:firstLineChars="0" w:firstLine="0"/>
              <w:jc w:val="center"/>
              <w:textAlignment w:val="baseline"/>
              <w:rPr>
                <w:sz w:val="21"/>
                <w:szCs w:val="21"/>
              </w:rPr>
            </w:pPr>
            <w:r>
              <w:rPr>
                <w:kern w:val="0"/>
                <w:sz w:val="21"/>
                <w:szCs w:val="21"/>
              </w:rPr>
              <w:t>平均</w:t>
            </w:r>
          </w:p>
        </w:tc>
      </w:tr>
      <w:tr w:rsidR="008E7D53">
        <w:trPr>
          <w:jc w:val="center"/>
        </w:trPr>
        <w:tc>
          <w:tcPr>
            <w:tcW w:w="1216" w:type="dxa"/>
            <w:vAlign w:val="center"/>
          </w:tcPr>
          <w:p w:rsidR="008E7D53" w:rsidRDefault="0098666E">
            <w:pPr>
              <w:ind w:firstLineChars="0" w:firstLine="0"/>
              <w:jc w:val="center"/>
              <w:textAlignment w:val="baseline"/>
              <w:rPr>
                <w:sz w:val="21"/>
                <w:szCs w:val="21"/>
              </w:rPr>
            </w:pPr>
            <w:r>
              <w:rPr>
                <w:kern w:val="0"/>
                <w:sz w:val="21"/>
                <w:szCs w:val="21"/>
              </w:rPr>
              <w:t>COD</w:t>
            </w:r>
          </w:p>
        </w:tc>
        <w:tc>
          <w:tcPr>
            <w:tcW w:w="1084" w:type="dxa"/>
            <w:vAlign w:val="center"/>
          </w:tcPr>
          <w:p w:rsidR="008E7D53" w:rsidRDefault="0098666E">
            <w:pPr>
              <w:ind w:firstLineChars="0" w:firstLine="0"/>
              <w:jc w:val="center"/>
              <w:textAlignment w:val="baseline"/>
              <w:rPr>
                <w:sz w:val="21"/>
                <w:szCs w:val="21"/>
              </w:rPr>
            </w:pPr>
            <w:r>
              <w:rPr>
                <w:color w:val="000000"/>
                <w:sz w:val="21"/>
                <w:szCs w:val="21"/>
              </w:rPr>
              <w:t>172</w:t>
            </w:r>
          </w:p>
        </w:tc>
        <w:tc>
          <w:tcPr>
            <w:tcW w:w="1085" w:type="dxa"/>
            <w:vAlign w:val="center"/>
          </w:tcPr>
          <w:p w:rsidR="008E7D53" w:rsidRDefault="0098666E">
            <w:pPr>
              <w:ind w:firstLineChars="0" w:firstLine="0"/>
              <w:jc w:val="center"/>
              <w:textAlignment w:val="baseline"/>
              <w:rPr>
                <w:sz w:val="21"/>
                <w:szCs w:val="21"/>
              </w:rPr>
            </w:pPr>
            <w:r>
              <w:rPr>
                <w:color w:val="000000"/>
                <w:sz w:val="21"/>
                <w:szCs w:val="21"/>
              </w:rPr>
              <w:t>234</w:t>
            </w:r>
          </w:p>
        </w:tc>
        <w:tc>
          <w:tcPr>
            <w:tcW w:w="1085" w:type="dxa"/>
            <w:vAlign w:val="center"/>
          </w:tcPr>
          <w:p w:rsidR="008E7D53" w:rsidRDefault="0098666E">
            <w:pPr>
              <w:ind w:firstLineChars="0" w:firstLine="0"/>
              <w:jc w:val="center"/>
              <w:textAlignment w:val="baseline"/>
              <w:rPr>
                <w:sz w:val="21"/>
                <w:szCs w:val="21"/>
              </w:rPr>
            </w:pPr>
            <w:r>
              <w:rPr>
                <w:color w:val="000000"/>
                <w:sz w:val="21"/>
                <w:szCs w:val="21"/>
              </w:rPr>
              <w:t>103</w:t>
            </w:r>
          </w:p>
        </w:tc>
        <w:tc>
          <w:tcPr>
            <w:tcW w:w="1200" w:type="dxa"/>
            <w:vAlign w:val="center"/>
          </w:tcPr>
          <w:p w:rsidR="008E7D53" w:rsidRDefault="0098666E">
            <w:pPr>
              <w:ind w:firstLineChars="0" w:firstLine="0"/>
              <w:jc w:val="center"/>
              <w:textAlignment w:val="baseline"/>
              <w:rPr>
                <w:sz w:val="21"/>
                <w:szCs w:val="21"/>
              </w:rPr>
            </w:pPr>
            <w:r>
              <w:rPr>
                <w:color w:val="000000"/>
                <w:sz w:val="21"/>
                <w:szCs w:val="21"/>
              </w:rPr>
              <w:t>14</w:t>
            </w:r>
          </w:p>
        </w:tc>
        <w:tc>
          <w:tcPr>
            <w:tcW w:w="1316" w:type="dxa"/>
            <w:vAlign w:val="center"/>
          </w:tcPr>
          <w:p w:rsidR="008E7D53" w:rsidRDefault="0098666E">
            <w:pPr>
              <w:ind w:firstLineChars="0" w:firstLine="0"/>
              <w:jc w:val="center"/>
              <w:textAlignment w:val="baseline"/>
              <w:rPr>
                <w:sz w:val="21"/>
                <w:szCs w:val="21"/>
              </w:rPr>
            </w:pPr>
            <w:r>
              <w:rPr>
                <w:color w:val="000000"/>
                <w:sz w:val="21"/>
                <w:szCs w:val="21"/>
              </w:rPr>
              <w:t>23</w:t>
            </w:r>
          </w:p>
        </w:tc>
        <w:tc>
          <w:tcPr>
            <w:tcW w:w="1316" w:type="dxa"/>
            <w:vAlign w:val="center"/>
          </w:tcPr>
          <w:p w:rsidR="008E7D53" w:rsidRDefault="0098666E">
            <w:pPr>
              <w:ind w:firstLineChars="0" w:firstLine="0"/>
              <w:jc w:val="center"/>
              <w:textAlignment w:val="baseline"/>
              <w:rPr>
                <w:sz w:val="21"/>
                <w:szCs w:val="21"/>
              </w:rPr>
            </w:pPr>
            <w:r>
              <w:rPr>
                <w:color w:val="000000"/>
                <w:sz w:val="21"/>
                <w:szCs w:val="21"/>
              </w:rPr>
              <w:t>10</w:t>
            </w:r>
          </w:p>
        </w:tc>
      </w:tr>
      <w:tr w:rsidR="008E7D53">
        <w:trPr>
          <w:jc w:val="center"/>
        </w:trPr>
        <w:tc>
          <w:tcPr>
            <w:tcW w:w="1216" w:type="dxa"/>
            <w:vAlign w:val="center"/>
          </w:tcPr>
          <w:p w:rsidR="008E7D53" w:rsidRDefault="0098666E">
            <w:pPr>
              <w:ind w:firstLineChars="0" w:firstLine="0"/>
              <w:jc w:val="center"/>
              <w:textAlignment w:val="baseline"/>
              <w:rPr>
                <w:sz w:val="21"/>
                <w:szCs w:val="21"/>
              </w:rPr>
            </w:pPr>
            <w:r>
              <w:rPr>
                <w:kern w:val="0"/>
                <w:sz w:val="21"/>
                <w:szCs w:val="21"/>
              </w:rPr>
              <w:t>BOD</w:t>
            </w:r>
          </w:p>
        </w:tc>
        <w:tc>
          <w:tcPr>
            <w:tcW w:w="1084" w:type="dxa"/>
            <w:vAlign w:val="center"/>
          </w:tcPr>
          <w:p w:rsidR="008E7D53" w:rsidRDefault="0098666E">
            <w:pPr>
              <w:ind w:firstLineChars="0" w:firstLine="0"/>
              <w:jc w:val="center"/>
              <w:textAlignment w:val="baseline"/>
              <w:rPr>
                <w:sz w:val="21"/>
                <w:szCs w:val="21"/>
              </w:rPr>
            </w:pPr>
            <w:r>
              <w:rPr>
                <w:color w:val="000000"/>
                <w:sz w:val="21"/>
                <w:szCs w:val="21"/>
              </w:rPr>
              <w:t>92.4</w:t>
            </w:r>
          </w:p>
        </w:tc>
        <w:tc>
          <w:tcPr>
            <w:tcW w:w="1085" w:type="dxa"/>
            <w:vAlign w:val="center"/>
          </w:tcPr>
          <w:p w:rsidR="008E7D53" w:rsidRDefault="0098666E">
            <w:pPr>
              <w:ind w:firstLineChars="0" w:firstLine="0"/>
              <w:jc w:val="center"/>
              <w:textAlignment w:val="baseline"/>
              <w:rPr>
                <w:sz w:val="21"/>
                <w:szCs w:val="21"/>
              </w:rPr>
            </w:pPr>
            <w:r>
              <w:rPr>
                <w:color w:val="000000"/>
                <w:sz w:val="21"/>
                <w:szCs w:val="21"/>
              </w:rPr>
              <w:t>138</w:t>
            </w:r>
          </w:p>
        </w:tc>
        <w:tc>
          <w:tcPr>
            <w:tcW w:w="1085" w:type="dxa"/>
            <w:vAlign w:val="center"/>
          </w:tcPr>
          <w:p w:rsidR="008E7D53" w:rsidRDefault="0098666E">
            <w:pPr>
              <w:ind w:firstLineChars="0" w:firstLine="0"/>
              <w:jc w:val="center"/>
              <w:textAlignment w:val="baseline"/>
              <w:rPr>
                <w:sz w:val="21"/>
                <w:szCs w:val="21"/>
              </w:rPr>
            </w:pPr>
            <w:r>
              <w:rPr>
                <w:color w:val="000000"/>
                <w:sz w:val="21"/>
                <w:szCs w:val="21"/>
              </w:rPr>
              <w:t>65.7</w:t>
            </w:r>
          </w:p>
        </w:tc>
        <w:tc>
          <w:tcPr>
            <w:tcW w:w="1200" w:type="dxa"/>
            <w:vAlign w:val="center"/>
          </w:tcPr>
          <w:p w:rsidR="008E7D53" w:rsidRDefault="0098666E">
            <w:pPr>
              <w:ind w:firstLineChars="0" w:firstLine="0"/>
              <w:jc w:val="center"/>
              <w:textAlignment w:val="baseline"/>
              <w:rPr>
                <w:sz w:val="21"/>
                <w:szCs w:val="21"/>
              </w:rPr>
            </w:pPr>
            <w:r>
              <w:rPr>
                <w:color w:val="000000"/>
                <w:sz w:val="21"/>
                <w:szCs w:val="21"/>
              </w:rPr>
              <w:t xml:space="preserve">3.0 </w:t>
            </w:r>
          </w:p>
        </w:tc>
        <w:tc>
          <w:tcPr>
            <w:tcW w:w="1316" w:type="dxa"/>
            <w:vAlign w:val="center"/>
          </w:tcPr>
          <w:p w:rsidR="008E7D53" w:rsidRDefault="0098666E">
            <w:pPr>
              <w:ind w:firstLineChars="0" w:firstLine="0"/>
              <w:jc w:val="center"/>
              <w:textAlignment w:val="baseline"/>
              <w:rPr>
                <w:sz w:val="21"/>
                <w:szCs w:val="21"/>
              </w:rPr>
            </w:pPr>
            <w:r>
              <w:rPr>
                <w:color w:val="000000"/>
                <w:sz w:val="21"/>
                <w:szCs w:val="21"/>
              </w:rPr>
              <w:t>3.5</w:t>
            </w:r>
          </w:p>
        </w:tc>
        <w:tc>
          <w:tcPr>
            <w:tcW w:w="1316" w:type="dxa"/>
            <w:vAlign w:val="center"/>
          </w:tcPr>
          <w:p w:rsidR="008E7D53" w:rsidRDefault="0098666E">
            <w:pPr>
              <w:ind w:firstLineChars="0" w:firstLine="0"/>
              <w:jc w:val="center"/>
              <w:textAlignment w:val="baseline"/>
              <w:rPr>
                <w:sz w:val="21"/>
                <w:szCs w:val="21"/>
              </w:rPr>
            </w:pPr>
            <w:r>
              <w:rPr>
                <w:color w:val="000000"/>
                <w:sz w:val="21"/>
                <w:szCs w:val="21"/>
              </w:rPr>
              <w:t>2.6</w:t>
            </w:r>
          </w:p>
        </w:tc>
      </w:tr>
      <w:tr w:rsidR="008E7D53">
        <w:trPr>
          <w:jc w:val="center"/>
        </w:trPr>
        <w:tc>
          <w:tcPr>
            <w:tcW w:w="1216" w:type="dxa"/>
            <w:vAlign w:val="center"/>
          </w:tcPr>
          <w:p w:rsidR="008E7D53" w:rsidRDefault="0098666E">
            <w:pPr>
              <w:ind w:firstLineChars="0" w:firstLine="0"/>
              <w:jc w:val="center"/>
              <w:textAlignment w:val="baseline"/>
              <w:rPr>
                <w:sz w:val="21"/>
                <w:szCs w:val="21"/>
              </w:rPr>
            </w:pPr>
            <w:r>
              <w:rPr>
                <w:kern w:val="0"/>
                <w:sz w:val="21"/>
                <w:szCs w:val="21"/>
              </w:rPr>
              <w:t>TP</w:t>
            </w:r>
          </w:p>
        </w:tc>
        <w:tc>
          <w:tcPr>
            <w:tcW w:w="1084" w:type="dxa"/>
            <w:vAlign w:val="center"/>
          </w:tcPr>
          <w:p w:rsidR="008E7D53" w:rsidRDefault="0098666E">
            <w:pPr>
              <w:ind w:firstLineChars="0" w:firstLine="0"/>
              <w:jc w:val="center"/>
              <w:textAlignment w:val="baseline"/>
              <w:rPr>
                <w:sz w:val="21"/>
                <w:szCs w:val="21"/>
              </w:rPr>
            </w:pPr>
            <w:r>
              <w:rPr>
                <w:color w:val="000000"/>
                <w:sz w:val="21"/>
                <w:szCs w:val="21"/>
              </w:rPr>
              <w:t>2.13</w:t>
            </w:r>
          </w:p>
        </w:tc>
        <w:tc>
          <w:tcPr>
            <w:tcW w:w="1085" w:type="dxa"/>
            <w:vAlign w:val="center"/>
          </w:tcPr>
          <w:p w:rsidR="008E7D53" w:rsidRDefault="0098666E">
            <w:pPr>
              <w:ind w:firstLineChars="0" w:firstLine="0"/>
              <w:jc w:val="center"/>
              <w:textAlignment w:val="baseline"/>
              <w:rPr>
                <w:sz w:val="21"/>
                <w:szCs w:val="21"/>
              </w:rPr>
            </w:pPr>
            <w:r>
              <w:rPr>
                <w:color w:val="000000"/>
                <w:sz w:val="21"/>
                <w:szCs w:val="21"/>
              </w:rPr>
              <w:t>2.67</w:t>
            </w:r>
          </w:p>
        </w:tc>
        <w:tc>
          <w:tcPr>
            <w:tcW w:w="1085" w:type="dxa"/>
            <w:vAlign w:val="center"/>
          </w:tcPr>
          <w:p w:rsidR="008E7D53" w:rsidRDefault="0098666E">
            <w:pPr>
              <w:ind w:firstLineChars="0" w:firstLine="0"/>
              <w:jc w:val="center"/>
              <w:textAlignment w:val="baseline"/>
              <w:rPr>
                <w:sz w:val="21"/>
                <w:szCs w:val="21"/>
              </w:rPr>
            </w:pPr>
            <w:r>
              <w:rPr>
                <w:color w:val="000000"/>
                <w:sz w:val="21"/>
                <w:szCs w:val="21"/>
              </w:rPr>
              <w:t>1.57</w:t>
            </w:r>
          </w:p>
        </w:tc>
        <w:tc>
          <w:tcPr>
            <w:tcW w:w="1200" w:type="dxa"/>
            <w:vAlign w:val="center"/>
          </w:tcPr>
          <w:p w:rsidR="008E7D53" w:rsidRDefault="0098666E">
            <w:pPr>
              <w:ind w:firstLineChars="0" w:firstLine="0"/>
              <w:jc w:val="center"/>
              <w:textAlignment w:val="baseline"/>
              <w:rPr>
                <w:sz w:val="21"/>
                <w:szCs w:val="21"/>
              </w:rPr>
            </w:pPr>
            <w:r>
              <w:rPr>
                <w:color w:val="000000"/>
                <w:sz w:val="21"/>
                <w:szCs w:val="21"/>
              </w:rPr>
              <w:t>0.083</w:t>
            </w:r>
          </w:p>
        </w:tc>
        <w:tc>
          <w:tcPr>
            <w:tcW w:w="1316" w:type="dxa"/>
            <w:vAlign w:val="center"/>
          </w:tcPr>
          <w:p w:rsidR="008E7D53" w:rsidRDefault="0098666E">
            <w:pPr>
              <w:ind w:firstLineChars="0" w:firstLine="0"/>
              <w:jc w:val="center"/>
              <w:textAlignment w:val="baseline"/>
              <w:rPr>
                <w:sz w:val="21"/>
                <w:szCs w:val="21"/>
              </w:rPr>
            </w:pPr>
            <w:r>
              <w:rPr>
                <w:color w:val="000000"/>
                <w:sz w:val="21"/>
                <w:szCs w:val="21"/>
              </w:rPr>
              <w:t>0.218</w:t>
            </w:r>
          </w:p>
        </w:tc>
        <w:tc>
          <w:tcPr>
            <w:tcW w:w="1316" w:type="dxa"/>
            <w:vAlign w:val="center"/>
          </w:tcPr>
          <w:p w:rsidR="008E7D53" w:rsidRDefault="0098666E">
            <w:pPr>
              <w:ind w:firstLineChars="0" w:firstLine="0"/>
              <w:jc w:val="center"/>
              <w:textAlignment w:val="baseline"/>
              <w:rPr>
                <w:sz w:val="21"/>
                <w:szCs w:val="21"/>
              </w:rPr>
            </w:pPr>
            <w:r>
              <w:rPr>
                <w:color w:val="000000"/>
                <w:sz w:val="21"/>
                <w:szCs w:val="21"/>
              </w:rPr>
              <w:t>0.052</w:t>
            </w:r>
          </w:p>
        </w:tc>
      </w:tr>
      <w:tr w:rsidR="008E7D53">
        <w:trPr>
          <w:jc w:val="center"/>
        </w:trPr>
        <w:tc>
          <w:tcPr>
            <w:tcW w:w="1216" w:type="dxa"/>
            <w:vAlign w:val="center"/>
          </w:tcPr>
          <w:p w:rsidR="008E7D53" w:rsidRDefault="0098666E">
            <w:pPr>
              <w:ind w:firstLineChars="0" w:firstLine="0"/>
              <w:jc w:val="center"/>
              <w:textAlignment w:val="baseline"/>
              <w:rPr>
                <w:sz w:val="21"/>
                <w:szCs w:val="21"/>
              </w:rPr>
            </w:pPr>
            <w:r>
              <w:rPr>
                <w:kern w:val="0"/>
                <w:sz w:val="21"/>
                <w:szCs w:val="21"/>
              </w:rPr>
              <w:t>TN</w:t>
            </w:r>
          </w:p>
        </w:tc>
        <w:tc>
          <w:tcPr>
            <w:tcW w:w="1084" w:type="dxa"/>
            <w:vAlign w:val="center"/>
          </w:tcPr>
          <w:p w:rsidR="008E7D53" w:rsidRDefault="0098666E">
            <w:pPr>
              <w:ind w:firstLineChars="0" w:firstLine="0"/>
              <w:jc w:val="center"/>
              <w:textAlignment w:val="baseline"/>
              <w:rPr>
                <w:sz w:val="21"/>
                <w:szCs w:val="21"/>
              </w:rPr>
            </w:pPr>
            <w:r>
              <w:rPr>
                <w:color w:val="000000"/>
                <w:sz w:val="21"/>
                <w:szCs w:val="21"/>
              </w:rPr>
              <w:t>22.6</w:t>
            </w:r>
          </w:p>
        </w:tc>
        <w:tc>
          <w:tcPr>
            <w:tcW w:w="1085" w:type="dxa"/>
            <w:vAlign w:val="center"/>
          </w:tcPr>
          <w:p w:rsidR="008E7D53" w:rsidRDefault="0098666E">
            <w:pPr>
              <w:ind w:firstLineChars="0" w:firstLine="0"/>
              <w:jc w:val="center"/>
              <w:textAlignment w:val="baseline"/>
              <w:rPr>
                <w:sz w:val="21"/>
                <w:szCs w:val="21"/>
              </w:rPr>
            </w:pPr>
            <w:r>
              <w:rPr>
                <w:color w:val="000000"/>
                <w:sz w:val="21"/>
                <w:szCs w:val="21"/>
              </w:rPr>
              <w:t>26.9</w:t>
            </w:r>
          </w:p>
        </w:tc>
        <w:tc>
          <w:tcPr>
            <w:tcW w:w="1085" w:type="dxa"/>
            <w:vAlign w:val="center"/>
          </w:tcPr>
          <w:p w:rsidR="008E7D53" w:rsidRDefault="0098666E">
            <w:pPr>
              <w:ind w:firstLineChars="0" w:firstLine="0"/>
              <w:jc w:val="center"/>
              <w:textAlignment w:val="baseline"/>
              <w:rPr>
                <w:sz w:val="21"/>
                <w:szCs w:val="21"/>
              </w:rPr>
            </w:pPr>
            <w:r>
              <w:rPr>
                <w:color w:val="000000"/>
                <w:sz w:val="21"/>
                <w:szCs w:val="21"/>
              </w:rPr>
              <w:t>17.8</w:t>
            </w:r>
          </w:p>
        </w:tc>
        <w:tc>
          <w:tcPr>
            <w:tcW w:w="1200" w:type="dxa"/>
            <w:vAlign w:val="center"/>
          </w:tcPr>
          <w:p w:rsidR="008E7D53" w:rsidRDefault="0098666E">
            <w:pPr>
              <w:ind w:firstLineChars="0" w:firstLine="0"/>
              <w:jc w:val="center"/>
              <w:textAlignment w:val="baseline"/>
              <w:rPr>
                <w:sz w:val="21"/>
                <w:szCs w:val="21"/>
              </w:rPr>
            </w:pPr>
            <w:r>
              <w:rPr>
                <w:color w:val="000000"/>
                <w:sz w:val="21"/>
                <w:szCs w:val="21"/>
              </w:rPr>
              <w:t xml:space="preserve">7.36 </w:t>
            </w:r>
          </w:p>
        </w:tc>
        <w:tc>
          <w:tcPr>
            <w:tcW w:w="1316" w:type="dxa"/>
            <w:vAlign w:val="center"/>
          </w:tcPr>
          <w:p w:rsidR="008E7D53" w:rsidRDefault="0098666E">
            <w:pPr>
              <w:ind w:firstLineChars="0" w:firstLine="0"/>
              <w:jc w:val="center"/>
              <w:textAlignment w:val="baseline"/>
              <w:rPr>
                <w:sz w:val="21"/>
                <w:szCs w:val="21"/>
              </w:rPr>
            </w:pPr>
            <w:r>
              <w:rPr>
                <w:color w:val="000000"/>
                <w:sz w:val="21"/>
                <w:szCs w:val="21"/>
              </w:rPr>
              <w:t>11.9</w:t>
            </w:r>
          </w:p>
        </w:tc>
        <w:tc>
          <w:tcPr>
            <w:tcW w:w="1316" w:type="dxa"/>
            <w:vAlign w:val="center"/>
          </w:tcPr>
          <w:p w:rsidR="008E7D53" w:rsidRDefault="0098666E">
            <w:pPr>
              <w:ind w:firstLineChars="0" w:firstLine="0"/>
              <w:jc w:val="center"/>
              <w:textAlignment w:val="baseline"/>
              <w:rPr>
                <w:sz w:val="21"/>
                <w:szCs w:val="21"/>
              </w:rPr>
            </w:pPr>
            <w:r>
              <w:rPr>
                <w:color w:val="000000"/>
                <w:sz w:val="21"/>
                <w:szCs w:val="21"/>
              </w:rPr>
              <w:t>3.13</w:t>
            </w:r>
          </w:p>
        </w:tc>
      </w:tr>
      <w:tr w:rsidR="008E7D53">
        <w:trPr>
          <w:jc w:val="center"/>
        </w:trPr>
        <w:tc>
          <w:tcPr>
            <w:tcW w:w="1216" w:type="dxa"/>
            <w:vAlign w:val="center"/>
          </w:tcPr>
          <w:p w:rsidR="008E7D53" w:rsidRDefault="0098666E">
            <w:pPr>
              <w:ind w:firstLineChars="0" w:firstLine="0"/>
              <w:jc w:val="center"/>
              <w:textAlignment w:val="baseline"/>
              <w:rPr>
                <w:sz w:val="21"/>
                <w:szCs w:val="21"/>
              </w:rPr>
            </w:pPr>
            <w:r>
              <w:rPr>
                <w:kern w:val="0"/>
                <w:sz w:val="21"/>
                <w:szCs w:val="21"/>
              </w:rPr>
              <w:t>SS</w:t>
            </w:r>
          </w:p>
        </w:tc>
        <w:tc>
          <w:tcPr>
            <w:tcW w:w="1084" w:type="dxa"/>
            <w:vAlign w:val="center"/>
          </w:tcPr>
          <w:p w:rsidR="008E7D53" w:rsidRDefault="0098666E">
            <w:pPr>
              <w:ind w:firstLineChars="0" w:firstLine="0"/>
              <w:jc w:val="center"/>
              <w:textAlignment w:val="baseline"/>
              <w:rPr>
                <w:sz w:val="21"/>
                <w:szCs w:val="21"/>
              </w:rPr>
            </w:pPr>
            <w:r>
              <w:rPr>
                <w:color w:val="000000"/>
                <w:sz w:val="21"/>
                <w:szCs w:val="21"/>
              </w:rPr>
              <w:t>114</w:t>
            </w:r>
          </w:p>
        </w:tc>
        <w:tc>
          <w:tcPr>
            <w:tcW w:w="1085" w:type="dxa"/>
            <w:vAlign w:val="center"/>
          </w:tcPr>
          <w:p w:rsidR="008E7D53" w:rsidRDefault="0098666E">
            <w:pPr>
              <w:ind w:firstLineChars="0" w:firstLine="0"/>
              <w:jc w:val="center"/>
              <w:textAlignment w:val="baseline"/>
              <w:rPr>
                <w:sz w:val="21"/>
                <w:szCs w:val="21"/>
              </w:rPr>
            </w:pPr>
            <w:r>
              <w:rPr>
                <w:color w:val="000000"/>
                <w:sz w:val="21"/>
                <w:szCs w:val="21"/>
              </w:rPr>
              <w:t>160</w:t>
            </w:r>
          </w:p>
        </w:tc>
        <w:tc>
          <w:tcPr>
            <w:tcW w:w="1085" w:type="dxa"/>
            <w:vAlign w:val="center"/>
          </w:tcPr>
          <w:p w:rsidR="008E7D53" w:rsidRDefault="0098666E">
            <w:pPr>
              <w:ind w:firstLineChars="0" w:firstLine="0"/>
              <w:jc w:val="center"/>
              <w:textAlignment w:val="baseline"/>
              <w:rPr>
                <w:sz w:val="21"/>
                <w:szCs w:val="21"/>
              </w:rPr>
            </w:pPr>
            <w:r>
              <w:rPr>
                <w:color w:val="000000"/>
                <w:sz w:val="21"/>
                <w:szCs w:val="21"/>
              </w:rPr>
              <w:t>75</w:t>
            </w:r>
          </w:p>
        </w:tc>
        <w:tc>
          <w:tcPr>
            <w:tcW w:w="1200" w:type="dxa"/>
            <w:vAlign w:val="center"/>
          </w:tcPr>
          <w:p w:rsidR="008E7D53" w:rsidRDefault="0098666E">
            <w:pPr>
              <w:ind w:firstLineChars="0" w:firstLine="0"/>
              <w:jc w:val="center"/>
              <w:textAlignment w:val="baseline"/>
              <w:rPr>
                <w:sz w:val="21"/>
                <w:szCs w:val="21"/>
              </w:rPr>
            </w:pPr>
            <w:r>
              <w:rPr>
                <w:color w:val="000000"/>
                <w:sz w:val="21"/>
                <w:szCs w:val="21"/>
              </w:rPr>
              <w:t>7</w:t>
            </w:r>
          </w:p>
        </w:tc>
        <w:tc>
          <w:tcPr>
            <w:tcW w:w="1316" w:type="dxa"/>
            <w:vAlign w:val="center"/>
          </w:tcPr>
          <w:p w:rsidR="008E7D53" w:rsidRDefault="0098666E">
            <w:pPr>
              <w:ind w:firstLineChars="0" w:firstLine="0"/>
              <w:jc w:val="center"/>
              <w:textAlignment w:val="baseline"/>
              <w:rPr>
                <w:sz w:val="21"/>
                <w:szCs w:val="21"/>
              </w:rPr>
            </w:pPr>
            <w:r>
              <w:rPr>
                <w:color w:val="000000"/>
                <w:sz w:val="21"/>
                <w:szCs w:val="21"/>
              </w:rPr>
              <w:t>9</w:t>
            </w:r>
          </w:p>
        </w:tc>
        <w:tc>
          <w:tcPr>
            <w:tcW w:w="1316" w:type="dxa"/>
            <w:vAlign w:val="center"/>
          </w:tcPr>
          <w:p w:rsidR="008E7D53" w:rsidRDefault="0098666E">
            <w:pPr>
              <w:ind w:firstLineChars="0" w:firstLine="0"/>
              <w:jc w:val="center"/>
              <w:textAlignment w:val="baseline"/>
              <w:rPr>
                <w:sz w:val="21"/>
                <w:szCs w:val="21"/>
              </w:rPr>
            </w:pPr>
            <w:r>
              <w:rPr>
                <w:color w:val="000000"/>
                <w:sz w:val="21"/>
                <w:szCs w:val="21"/>
              </w:rPr>
              <w:t>5</w:t>
            </w:r>
          </w:p>
        </w:tc>
      </w:tr>
    </w:tbl>
    <w:p w:rsidR="008E7D53" w:rsidRDefault="008E7D53">
      <w:pPr>
        <w:ind w:firstLine="480"/>
        <w:textAlignment w:val="baseline"/>
        <w:rPr>
          <w:szCs w:val="24"/>
        </w:rPr>
      </w:pPr>
    </w:p>
    <w:p w:rsidR="008E7D53" w:rsidRDefault="0098666E">
      <w:pPr>
        <w:ind w:firstLine="480"/>
        <w:textAlignment w:val="baseline"/>
        <w:rPr>
          <w:sz w:val="20"/>
          <w:szCs w:val="24"/>
        </w:rPr>
      </w:pPr>
      <w:r>
        <w:rPr>
          <w:rFonts w:hint="eastAsia"/>
          <w:szCs w:val="24"/>
        </w:rPr>
        <w:t>每千克总污染物去除电耗</w:t>
      </w:r>
      <w:r>
        <w:rPr>
          <w:rFonts w:hint="eastAsia"/>
          <w:szCs w:val="24"/>
        </w:rPr>
        <w:t>=</w:t>
      </w:r>
      <w:r>
        <w:rPr>
          <w:bCs/>
          <w:kern w:val="0"/>
          <w:szCs w:val="24"/>
        </w:rPr>
        <w:t>132.8422</w:t>
      </w:r>
      <w:r>
        <w:rPr>
          <w:szCs w:val="24"/>
        </w:rPr>
        <w:sym w:font="Wingdings 2" w:char="F0CD"/>
      </w:r>
      <w:r>
        <w:rPr>
          <w:szCs w:val="24"/>
        </w:rPr>
        <w:t>1000</w:t>
      </w:r>
      <w:r>
        <w:rPr>
          <w:rFonts w:hint="eastAsia"/>
          <w:szCs w:val="24"/>
        </w:rPr>
        <w:t>/</w:t>
      </w:r>
      <w:r>
        <w:rPr>
          <w:rFonts w:hint="eastAsia"/>
          <w:szCs w:val="24"/>
        </w:rPr>
        <w:t>（</w:t>
      </w:r>
      <w:r>
        <w:rPr>
          <w:szCs w:val="24"/>
        </w:rPr>
        <w:t>459.24</w:t>
      </w:r>
      <w:r>
        <w:rPr>
          <w:szCs w:val="24"/>
        </w:rPr>
        <w:sym w:font="Wingdings 2" w:char="F0CD"/>
      </w:r>
      <w:r>
        <w:rPr>
          <w:rFonts w:hint="eastAsia"/>
          <w:szCs w:val="24"/>
        </w:rPr>
        <w:t>（（</w:t>
      </w:r>
      <w:r>
        <w:rPr>
          <w:szCs w:val="24"/>
        </w:rPr>
        <w:t>103-10</w:t>
      </w:r>
      <w:r>
        <w:rPr>
          <w:rFonts w:hint="eastAsia"/>
          <w:szCs w:val="24"/>
        </w:rPr>
        <w:t>）</w:t>
      </w:r>
      <w:r>
        <w:rPr>
          <w:szCs w:val="24"/>
        </w:rPr>
        <w:t>+2</w:t>
      </w:r>
      <w:r>
        <w:rPr>
          <w:rFonts w:hint="eastAsia"/>
          <w:szCs w:val="24"/>
        </w:rPr>
        <w:t>（</w:t>
      </w:r>
      <w:r>
        <w:rPr>
          <w:szCs w:val="24"/>
        </w:rPr>
        <w:t>65.7-2.6</w:t>
      </w:r>
      <w:r>
        <w:rPr>
          <w:rFonts w:hint="eastAsia"/>
          <w:szCs w:val="24"/>
        </w:rPr>
        <w:t>））</w:t>
      </w:r>
      <w:r>
        <w:rPr>
          <w:szCs w:val="24"/>
        </w:rPr>
        <w:t>+2</w:t>
      </w:r>
      <w:r>
        <w:rPr>
          <w:rFonts w:hint="eastAsia"/>
          <w:szCs w:val="24"/>
        </w:rPr>
        <w:t>（</w:t>
      </w:r>
      <w:r>
        <w:rPr>
          <w:szCs w:val="24"/>
        </w:rPr>
        <w:t>75-5</w:t>
      </w:r>
      <w:r>
        <w:rPr>
          <w:rFonts w:hint="eastAsia"/>
          <w:szCs w:val="24"/>
        </w:rPr>
        <w:t>）</w:t>
      </w:r>
      <w:r>
        <w:rPr>
          <w:szCs w:val="24"/>
        </w:rPr>
        <w:t>+20</w:t>
      </w:r>
      <w:r>
        <w:rPr>
          <w:rFonts w:hint="eastAsia"/>
          <w:szCs w:val="24"/>
        </w:rPr>
        <w:t>（</w:t>
      </w:r>
      <w:r>
        <w:rPr>
          <w:szCs w:val="24"/>
        </w:rPr>
        <w:t>17.8-3.13</w:t>
      </w:r>
      <w:r>
        <w:rPr>
          <w:rFonts w:hint="eastAsia"/>
          <w:szCs w:val="24"/>
        </w:rPr>
        <w:t>）</w:t>
      </w:r>
      <w:r>
        <w:rPr>
          <w:szCs w:val="24"/>
        </w:rPr>
        <w:t>+100</w:t>
      </w:r>
      <w:r>
        <w:rPr>
          <w:rFonts w:hint="eastAsia"/>
          <w:szCs w:val="24"/>
        </w:rPr>
        <w:t>（</w:t>
      </w:r>
      <w:r>
        <w:rPr>
          <w:szCs w:val="24"/>
        </w:rPr>
        <w:t>1.57-0.052</w:t>
      </w:r>
      <w:r>
        <w:rPr>
          <w:rFonts w:hint="eastAsia"/>
          <w:szCs w:val="24"/>
        </w:rPr>
        <w:t>））</w:t>
      </w:r>
      <w:r>
        <w:rPr>
          <w:rFonts w:hint="eastAsia"/>
          <w:szCs w:val="24"/>
        </w:rPr>
        <w:t>=</w:t>
      </w:r>
      <w:r>
        <w:rPr>
          <w:szCs w:val="24"/>
        </w:rPr>
        <w:t>0.360</w:t>
      </w:r>
      <w:r>
        <w:rPr>
          <w:rFonts w:ascii="宋体" w:hAnsi="宋体"/>
          <w:szCs w:val="24"/>
        </w:rPr>
        <w:t xml:space="preserve"> (</w:t>
      </w:r>
      <w:r>
        <w:rPr>
          <w:szCs w:val="24"/>
        </w:rPr>
        <w:t xml:space="preserve">kW·h/kg </w:t>
      </w:r>
      <w:r>
        <w:rPr>
          <w:rFonts w:hint="eastAsia"/>
          <w:szCs w:val="24"/>
        </w:rPr>
        <w:t>总污染物</w:t>
      </w:r>
      <w:r>
        <w:rPr>
          <w:rFonts w:ascii="宋体" w:hAnsi="宋体" w:hint="eastAsia"/>
          <w:szCs w:val="24"/>
        </w:rPr>
        <w:t>)</w:t>
      </w:r>
    </w:p>
    <w:p w:rsidR="008E7D53" w:rsidRDefault="0098666E">
      <w:pPr>
        <w:ind w:firstLine="480"/>
        <w:textAlignment w:val="baseline"/>
        <w:rPr>
          <w:iCs/>
          <w:szCs w:val="24"/>
        </w:rPr>
      </w:pPr>
      <w:r>
        <w:rPr>
          <w:rFonts w:hint="eastAsia"/>
          <w:iCs/>
          <w:szCs w:val="24"/>
        </w:rPr>
        <w:t>参照《江苏省城镇污水处理厂运行管理考核标准》，</w:t>
      </w:r>
      <w:r>
        <w:rPr>
          <w:iCs/>
          <w:szCs w:val="24"/>
        </w:rPr>
        <w:t>0.289</w:t>
      </w:r>
      <w:r>
        <w:rPr>
          <w:rFonts w:hint="eastAsia"/>
          <w:iCs/>
          <w:szCs w:val="24"/>
        </w:rPr>
        <w:t>&lt;</w:t>
      </w:r>
      <w:r>
        <w:rPr>
          <w:iCs/>
          <w:szCs w:val="24"/>
        </w:rPr>
        <w:t>0.47</w:t>
      </w:r>
      <w:r>
        <w:rPr>
          <w:rFonts w:hint="eastAsia"/>
          <w:iCs/>
          <w:szCs w:val="24"/>
        </w:rPr>
        <w:t>，属于中等偏低能耗，和我们采用每千克总污染物去除电耗指标评价结果一致。</w:t>
      </w:r>
    </w:p>
    <w:p w:rsidR="008E7D53" w:rsidRDefault="0098666E">
      <w:pPr>
        <w:pStyle w:val="2"/>
        <w:numPr>
          <w:ilvl w:val="0"/>
          <w:numId w:val="0"/>
        </w:numPr>
        <w:spacing w:after="156"/>
        <w:jc w:val="both"/>
        <w:textAlignment w:val="baseline"/>
        <w:rPr>
          <w:b w:val="0"/>
        </w:rPr>
      </w:pPr>
      <w:bookmarkStart w:id="39" w:name="_Toc89240952"/>
      <w:r>
        <w:rPr>
          <w:b w:val="0"/>
        </w:rPr>
        <w:t xml:space="preserve">4.8 </w:t>
      </w:r>
      <w:r>
        <w:rPr>
          <w:rFonts w:hint="eastAsia"/>
          <w:b w:val="0"/>
        </w:rPr>
        <w:t>能效评价</w:t>
      </w:r>
      <w:bookmarkEnd w:id="39"/>
    </w:p>
    <w:p w:rsidR="008E7D53" w:rsidRDefault="0098666E">
      <w:pPr>
        <w:ind w:firstLine="480"/>
        <w:textAlignment w:val="baseline"/>
        <w:rPr>
          <w:sz w:val="20"/>
        </w:rPr>
      </w:pPr>
      <w:r>
        <w:rPr>
          <w:rFonts w:hint="eastAsia"/>
        </w:rPr>
        <w:t>根据计算所得的能耗值对应表</w:t>
      </w:r>
      <w:r>
        <w:rPr>
          <w:rFonts w:hint="eastAsia"/>
        </w:rPr>
        <w:t>5</w:t>
      </w:r>
      <w:r>
        <w:t>-4</w:t>
      </w:r>
      <w:r>
        <w:rPr>
          <w:rFonts w:hint="eastAsia"/>
        </w:rPr>
        <w:t>中的能耗先进值和能耗限定值，判断处理厂能耗</w:t>
      </w:r>
      <w:r>
        <w:rPr>
          <w:rFonts w:hint="eastAsia"/>
        </w:rPr>
        <w:t>情况</w:t>
      </w:r>
      <w:r>
        <w:rPr>
          <w:rFonts w:hint="eastAsia"/>
        </w:rPr>
        <w:t>。</w:t>
      </w:r>
    </w:p>
    <w:p w:rsidR="008E7D53" w:rsidRDefault="0098666E">
      <w:pPr>
        <w:ind w:firstLine="480"/>
        <w:textAlignment w:val="baseline"/>
      </w:pPr>
      <w:r>
        <w:rPr>
          <w:rFonts w:hint="eastAsia"/>
        </w:rPr>
        <w:t>城镇污水处理厂应定期对污水生物处理系统能效进行评价，并做好信息记录和存档。考虑到城镇污水处理厂冬季和夏季污水水质不同，城镇污水处理厂的能耗水平不同，为确保本文件的合理性和有效性，编制组规定能效评价以一年为统计报告期，并提供城镇污水生物处理系统能效评价表供标准使用者参考。</w:t>
      </w:r>
    </w:p>
    <w:p w:rsidR="008E7D53" w:rsidRDefault="0098666E">
      <w:pPr>
        <w:pStyle w:val="2"/>
        <w:numPr>
          <w:ilvl w:val="0"/>
          <w:numId w:val="0"/>
        </w:numPr>
        <w:spacing w:after="156"/>
        <w:jc w:val="both"/>
        <w:textAlignment w:val="baseline"/>
        <w:rPr>
          <w:b w:val="0"/>
        </w:rPr>
      </w:pPr>
      <w:bookmarkStart w:id="40" w:name="_Toc89240953"/>
      <w:r>
        <w:rPr>
          <w:b w:val="0"/>
        </w:rPr>
        <w:t xml:space="preserve">4.9 </w:t>
      </w:r>
      <w:r>
        <w:rPr>
          <w:rFonts w:hint="eastAsia"/>
          <w:b w:val="0"/>
        </w:rPr>
        <w:t>节能管理与措施</w:t>
      </w:r>
      <w:bookmarkEnd w:id="40"/>
    </w:p>
    <w:p w:rsidR="008E7D53" w:rsidRDefault="0098666E">
      <w:pPr>
        <w:ind w:firstLineChars="0" w:firstLine="0"/>
        <w:textAlignment w:val="baseline"/>
        <w:rPr>
          <w:b/>
        </w:rPr>
      </w:pPr>
      <w:r>
        <w:rPr>
          <w:b/>
        </w:rPr>
        <w:t xml:space="preserve">4.9.1 </w:t>
      </w:r>
      <w:r>
        <w:rPr>
          <w:rFonts w:hint="eastAsia"/>
          <w:b/>
        </w:rPr>
        <w:t>节能管理</w:t>
      </w:r>
    </w:p>
    <w:p w:rsidR="008E7D53" w:rsidRDefault="0098666E">
      <w:pPr>
        <w:ind w:firstLine="480"/>
        <w:textAlignment w:val="baseline"/>
      </w:pPr>
      <w:r>
        <w:rPr>
          <w:rFonts w:hint="eastAsia"/>
        </w:rPr>
        <w:t>城镇污水处理厂节能管理工作主要包括节能改造、节能降耗运行管理、节能降耗评价和持续改进等内容。</w:t>
      </w:r>
    </w:p>
    <w:p w:rsidR="008E7D53" w:rsidRDefault="0098666E">
      <w:pPr>
        <w:ind w:firstLine="480"/>
        <w:textAlignment w:val="baseline"/>
      </w:pPr>
      <w:r>
        <w:rPr>
          <w:rFonts w:hint="eastAsia"/>
        </w:rPr>
        <w:lastRenderedPageBreak/>
        <w:t>（</w:t>
      </w:r>
      <w:r>
        <w:rPr>
          <w:rFonts w:hint="eastAsia"/>
        </w:rPr>
        <w:t>1</w:t>
      </w:r>
      <w:r>
        <w:rPr>
          <w:rFonts w:hint="eastAsia"/>
        </w:rPr>
        <w:t>）完善城镇污水处理厂能耗统计体系、能源管理体系，遵循国家相关规范，实现与国家、省级能耗监测平台无</w:t>
      </w:r>
      <w:r>
        <w:rPr>
          <w:rFonts w:hint="eastAsia"/>
        </w:rPr>
        <w:t>缝对接，避免重复采集数据，减少污水处理厂负担。</w:t>
      </w:r>
    </w:p>
    <w:p w:rsidR="008E7D53" w:rsidRDefault="0098666E">
      <w:pPr>
        <w:ind w:firstLine="480"/>
        <w:textAlignment w:val="baseline"/>
      </w:pPr>
      <w:r>
        <w:rPr>
          <w:rFonts w:hint="eastAsia"/>
        </w:rPr>
        <w:t>（</w:t>
      </w:r>
      <w:r>
        <w:rPr>
          <w:rFonts w:hint="eastAsia"/>
        </w:rPr>
        <w:t>2</w:t>
      </w:r>
      <w:r>
        <w:rPr>
          <w:rFonts w:hint="eastAsia"/>
        </w:rPr>
        <w:t>）设备节能评估应采用科学、严谨的评估方法，客观、全面地分析设备合理用能的先进方面和薄弱环节，判定设备合理用能的政策符合性、科学性、可行性，提出合理用能的建议措施。</w:t>
      </w:r>
    </w:p>
    <w:p w:rsidR="008E7D53" w:rsidRDefault="0098666E">
      <w:pPr>
        <w:ind w:firstLine="480"/>
        <w:textAlignment w:val="baseline"/>
      </w:pPr>
      <w:r>
        <w:rPr>
          <w:rFonts w:hint="eastAsia"/>
        </w:rPr>
        <w:t>（</w:t>
      </w:r>
      <w:r>
        <w:rPr>
          <w:rFonts w:hint="eastAsia"/>
        </w:rPr>
        <w:t>3</w:t>
      </w:r>
      <w:r>
        <w:rPr>
          <w:rFonts w:hint="eastAsia"/>
        </w:rPr>
        <w:t>）城镇污水处理厂工艺运行优化应与收纳水体的管网、泵站关联，建立厂网站一体化联合调度制度，可实现高效稳定运行和节能降耗。定期采集管网、泵站、污水处理厂进出水的水质水量等数据，合理调配水量，挖掘生化处理系统潜能。</w:t>
      </w:r>
    </w:p>
    <w:p w:rsidR="008E7D53" w:rsidRDefault="0098666E">
      <w:pPr>
        <w:ind w:firstLine="480"/>
        <w:textAlignment w:val="baseline"/>
      </w:pPr>
      <w:r>
        <w:rPr>
          <w:rFonts w:hint="eastAsia"/>
        </w:rPr>
        <w:t>（</w:t>
      </w:r>
      <w:r>
        <w:rPr>
          <w:rFonts w:hint="eastAsia"/>
        </w:rPr>
        <w:t>4</w:t>
      </w:r>
      <w:r>
        <w:rPr>
          <w:rFonts w:hint="eastAsia"/>
        </w:rPr>
        <w:t>）规范使用高能效设备。对于污水处理厂中耗能耗电较大的设备，例如电泵、风机、搅拌</w:t>
      </w:r>
      <w:r>
        <w:rPr>
          <w:rFonts w:hint="eastAsia"/>
        </w:rPr>
        <w:t>机等，按照相关国家标准规定淘汰和使用相关高效设备，优先选择新型高效电机替换高能耗落后产品。</w:t>
      </w:r>
    </w:p>
    <w:p w:rsidR="008E7D53" w:rsidRDefault="0098666E">
      <w:pPr>
        <w:ind w:firstLineChars="0" w:firstLine="0"/>
        <w:textAlignment w:val="baseline"/>
        <w:rPr>
          <w:b/>
        </w:rPr>
      </w:pPr>
      <w:r>
        <w:rPr>
          <w:b/>
        </w:rPr>
        <w:t xml:space="preserve">4.9.2 </w:t>
      </w:r>
      <w:r>
        <w:rPr>
          <w:rFonts w:hint="eastAsia"/>
          <w:b/>
        </w:rPr>
        <w:t>节能技术措施</w:t>
      </w:r>
    </w:p>
    <w:p w:rsidR="008E7D53" w:rsidRDefault="0098666E">
      <w:pPr>
        <w:ind w:firstLine="480"/>
      </w:pPr>
      <w:r>
        <w:rPr>
          <w:rFonts w:hint="eastAsia"/>
        </w:rPr>
        <w:t>通过对城镇污水处理厂的日常运行维护、污水处理工艺运行参数优化、设备的合理运行、建立精确控制系统来精准曝气、设备改造、资源化再生利用（水回用、水中热能利用）、新能源开发（使用太阳能、沼气等）等措施达到城镇污水处理厂的节能降耗，实现优质、低耗、清洁生产。</w:t>
      </w:r>
    </w:p>
    <w:p w:rsidR="008E7D53" w:rsidRDefault="0098666E">
      <w:pPr>
        <w:pStyle w:val="2"/>
        <w:numPr>
          <w:ilvl w:val="0"/>
          <w:numId w:val="0"/>
        </w:numPr>
        <w:spacing w:after="156"/>
        <w:jc w:val="both"/>
        <w:textAlignment w:val="baseline"/>
        <w:rPr>
          <w:b w:val="0"/>
        </w:rPr>
      </w:pPr>
      <w:bookmarkStart w:id="41" w:name="_Toc89240954"/>
      <w:r>
        <w:rPr>
          <w:b w:val="0"/>
        </w:rPr>
        <w:t xml:space="preserve">4.10 </w:t>
      </w:r>
      <w:r>
        <w:rPr>
          <w:rFonts w:hint="eastAsia"/>
          <w:b w:val="0"/>
        </w:rPr>
        <w:t>其他说明</w:t>
      </w:r>
      <w:bookmarkEnd w:id="41"/>
    </w:p>
    <w:p w:rsidR="008E7D53" w:rsidRDefault="0098666E">
      <w:pPr>
        <w:ind w:firstLine="480"/>
        <w:textAlignment w:val="baseline"/>
      </w:pPr>
      <w:r>
        <w:rPr>
          <w:rFonts w:hint="eastAsia"/>
        </w:rPr>
        <w:t>标准文本中</w:t>
      </w:r>
      <w:r>
        <w:rPr>
          <w:rFonts w:hint="eastAsia"/>
        </w:rPr>
        <w:t>1</w:t>
      </w:r>
      <w:r>
        <w:t>0.1</w:t>
      </w:r>
      <w:r>
        <w:rPr>
          <w:rFonts w:hint="eastAsia"/>
        </w:rPr>
        <w:t>条</w:t>
      </w:r>
      <w:r>
        <w:rPr>
          <w:rFonts w:hint="eastAsia"/>
        </w:rPr>
        <w:t>规定</w:t>
      </w:r>
      <w:r>
        <w:rPr>
          <w:rFonts w:hint="eastAsia"/>
        </w:rPr>
        <w:t>了进行能效评价的城镇污水处理厂的污泥</w:t>
      </w:r>
      <w:r>
        <w:rPr>
          <w:rFonts w:hint="eastAsia"/>
        </w:rPr>
        <w:t>处理</w:t>
      </w:r>
      <w:r>
        <w:rPr>
          <w:rFonts w:hint="eastAsia"/>
        </w:rPr>
        <w:t>应满足的要求。目前《城镇污水处理厂污染物排放标准》（</w:t>
      </w:r>
      <w:r>
        <w:rPr>
          <w:rFonts w:hint="eastAsia"/>
        </w:rPr>
        <w:t>G</w:t>
      </w:r>
      <w:r>
        <w:t xml:space="preserve">B </w:t>
      </w:r>
      <w:r>
        <w:t>18918-2002</w:t>
      </w:r>
      <w:r>
        <w:rPr>
          <w:rFonts w:hint="eastAsia"/>
        </w:rPr>
        <w:t>）中规定的污泥控制要求是全省城镇污水处理厂必须执行和满足的基本要求，基于此，编制组编制了该条内容。</w:t>
      </w:r>
    </w:p>
    <w:p w:rsidR="008E7D53" w:rsidRDefault="0098666E">
      <w:pPr>
        <w:ind w:firstLine="480"/>
        <w:textAlignment w:val="baseline"/>
      </w:pPr>
      <w:r>
        <w:rPr>
          <w:rFonts w:hint="eastAsia"/>
        </w:rPr>
        <w:t>标准文本中</w:t>
      </w:r>
      <w:r>
        <w:rPr>
          <w:rFonts w:hint="eastAsia"/>
        </w:rPr>
        <w:t>1</w:t>
      </w:r>
      <w:r>
        <w:t>0.2</w:t>
      </w:r>
      <w:r>
        <w:rPr>
          <w:rFonts w:hint="eastAsia"/>
        </w:rPr>
        <w:t>条说明了城镇污水处理厂的运行负荷率的要求。根据上述</w:t>
      </w:r>
      <w:r>
        <w:rPr>
          <w:rFonts w:hint="eastAsia"/>
        </w:rPr>
        <w:t>对</w:t>
      </w:r>
      <w:r>
        <w:rPr>
          <w:rFonts w:hint="eastAsia"/>
        </w:rPr>
        <w:t>江苏省城镇污水处理厂运行负荷率现状分析，以及参考《城镇污水处理能源消耗限额》（</w:t>
      </w:r>
      <w:r>
        <w:rPr>
          <w:rFonts w:hint="eastAsia"/>
        </w:rPr>
        <w:t>DB</w:t>
      </w:r>
      <w:r>
        <w:t>11/</w:t>
      </w:r>
      <w:r>
        <w:rPr>
          <w:rFonts w:hint="eastAsia"/>
        </w:rPr>
        <w:t xml:space="preserve">T </w:t>
      </w:r>
      <w:r>
        <w:t>1118</w:t>
      </w:r>
      <w:r>
        <w:rPr>
          <w:rFonts w:hint="eastAsia"/>
        </w:rPr>
        <w:t>-201</w:t>
      </w:r>
      <w:r>
        <w:t>4</w:t>
      </w:r>
      <w:r>
        <w:rPr>
          <w:rFonts w:hint="eastAsia"/>
        </w:rPr>
        <w:t>）相关内容，本文件对污水处理厂运行负荷率进行了说明。</w:t>
      </w:r>
      <w:bookmarkStart w:id="42" w:name="_Hlk85031583"/>
      <w:r>
        <w:rPr>
          <w:rFonts w:hint="eastAsia"/>
        </w:rPr>
        <w:t>运行负荷率</w:t>
      </w:r>
      <w:r>
        <w:t>=</w:t>
      </w:r>
      <w:r>
        <w:rPr>
          <w:rFonts w:hint="eastAsia"/>
        </w:rPr>
        <w:t>污水处理总量</w:t>
      </w:r>
      <w:r>
        <w:t>/</w:t>
      </w:r>
      <w:r>
        <w:rPr>
          <w:rFonts w:hint="eastAsia"/>
        </w:rPr>
        <w:t>（日设计处理能力×天数）×</w:t>
      </w:r>
      <w:r>
        <w:t>100%</w:t>
      </w:r>
      <w:bookmarkEnd w:id="42"/>
      <w:r>
        <w:rPr>
          <w:rFonts w:hint="eastAsia"/>
        </w:rPr>
        <w:t>，污水处理厂应在运行负荷率大于等于</w:t>
      </w:r>
      <w:r>
        <w:rPr>
          <w:rFonts w:hint="eastAsia"/>
        </w:rPr>
        <w:t>6</w:t>
      </w:r>
      <w:r>
        <w:t>0%</w:t>
      </w:r>
      <w:r>
        <w:rPr>
          <w:rFonts w:hint="eastAsia"/>
        </w:rPr>
        <w:t>的情况下进行能耗评价，因为运行负荷率较低的情况下，污水处理厂</w:t>
      </w:r>
      <w:r>
        <w:rPr>
          <w:rFonts w:hint="eastAsia"/>
        </w:rPr>
        <w:t>本身处于非正常运行状态，能源利用率较低，存在浪费，能</w:t>
      </w:r>
      <w:r>
        <w:rPr>
          <w:rFonts w:hint="eastAsia"/>
        </w:rPr>
        <w:lastRenderedPageBreak/>
        <w:t>耗评价值参考和借鉴意义不大。</w:t>
      </w:r>
    </w:p>
    <w:p w:rsidR="008E7D53" w:rsidRDefault="0098666E">
      <w:pPr>
        <w:pStyle w:val="1"/>
        <w:spacing w:after="156"/>
        <w:textAlignment w:val="baseline"/>
      </w:pPr>
      <w:bookmarkStart w:id="43" w:name="_Toc89240955"/>
      <w:r>
        <w:rPr>
          <w:rFonts w:hint="eastAsia"/>
        </w:rPr>
        <w:t>5</w:t>
      </w:r>
      <w:r>
        <w:t xml:space="preserve"> </w:t>
      </w:r>
      <w:r>
        <w:rPr>
          <w:rFonts w:hint="eastAsia"/>
        </w:rPr>
        <w:t>与相关法律法规和国家标准的关系</w:t>
      </w:r>
      <w:bookmarkEnd w:id="43"/>
    </w:p>
    <w:p w:rsidR="008E7D53" w:rsidRDefault="0098666E">
      <w:pPr>
        <w:pStyle w:val="affe"/>
        <w:ind w:firstLine="480"/>
        <w:rPr>
          <w:kern w:val="0"/>
        </w:rPr>
      </w:pPr>
      <w:r>
        <w:rPr>
          <w:rFonts w:hint="eastAsia"/>
          <w:kern w:val="0"/>
        </w:rPr>
        <w:t>目前，国家和江苏省均未发布与城镇污水处理厂或城镇污水处理厂污水生物处理系统相关的能效评价标准。本文件与现行法律、法规、规章及相关标准协调一致，没有冲突。</w:t>
      </w:r>
    </w:p>
    <w:p w:rsidR="008E7D53" w:rsidRDefault="0098666E">
      <w:pPr>
        <w:ind w:firstLine="480"/>
        <w:textAlignment w:val="baseline"/>
        <w:rPr>
          <w:sz w:val="20"/>
        </w:rPr>
      </w:pPr>
      <w:r>
        <w:rPr>
          <w:rFonts w:hint="eastAsia"/>
          <w:kern w:val="0"/>
        </w:rPr>
        <w:t>本文件贯彻落实了《国务院关于印发“十三五”节能减排综合工作方案的通知》（国发</w:t>
      </w:r>
      <w:r>
        <w:rPr>
          <w:rFonts w:hint="eastAsia"/>
          <w:kern w:val="0"/>
        </w:rPr>
        <w:t xml:space="preserve"> </w:t>
      </w:r>
      <w:r>
        <w:rPr>
          <w:rFonts w:ascii="宋体" w:hAnsi="宋体" w:cs="宋体" w:hint="eastAsia"/>
          <w:kern w:val="0"/>
        </w:rPr>
        <w:t>〔</w:t>
      </w:r>
      <w:r>
        <w:rPr>
          <w:kern w:val="0"/>
        </w:rPr>
        <w:t>2016</w:t>
      </w:r>
      <w:r>
        <w:rPr>
          <w:rFonts w:ascii="宋体" w:hAnsi="宋体" w:cs="宋体" w:hint="eastAsia"/>
          <w:kern w:val="0"/>
        </w:rPr>
        <w:t>〕</w:t>
      </w:r>
      <w:r>
        <w:rPr>
          <w:kern w:val="0"/>
        </w:rPr>
        <w:t>74</w:t>
      </w:r>
      <w:r>
        <w:rPr>
          <w:rFonts w:hint="eastAsia"/>
          <w:kern w:val="0"/>
        </w:rPr>
        <w:t>号）、</w:t>
      </w:r>
      <w:r>
        <w:rPr>
          <w:rFonts w:hint="eastAsia"/>
        </w:rPr>
        <w:t>《工业和信息化部关于印发工业绿色发展规划（</w:t>
      </w:r>
      <w:r>
        <w:rPr>
          <w:rFonts w:hint="eastAsia"/>
        </w:rPr>
        <w:t>2016-2020</w:t>
      </w:r>
      <w:r>
        <w:rPr>
          <w:rFonts w:hint="eastAsia"/>
        </w:rPr>
        <w:t>年）的通知》（工信部规</w:t>
      </w:r>
      <w:r>
        <w:rPr>
          <w:rFonts w:ascii="宋体" w:hAnsi="宋体" w:cs="宋体" w:hint="eastAsia"/>
          <w:kern w:val="0"/>
        </w:rPr>
        <w:t>〔</w:t>
      </w:r>
      <w:r>
        <w:rPr>
          <w:kern w:val="0"/>
        </w:rPr>
        <w:t>2016</w:t>
      </w:r>
      <w:r>
        <w:rPr>
          <w:rFonts w:ascii="宋体" w:hAnsi="宋体" w:cs="宋体" w:hint="eastAsia"/>
          <w:kern w:val="0"/>
        </w:rPr>
        <w:t>〕</w:t>
      </w:r>
      <w:r>
        <w:rPr>
          <w:rFonts w:hint="eastAsia"/>
        </w:rPr>
        <w:t>225</w:t>
      </w:r>
      <w:r>
        <w:rPr>
          <w:rFonts w:hint="eastAsia"/>
        </w:rPr>
        <w:t>号）</w:t>
      </w:r>
      <w:r>
        <w:rPr>
          <w:rFonts w:hint="eastAsia"/>
          <w:sz w:val="20"/>
        </w:rPr>
        <w:t>、</w:t>
      </w:r>
      <w:r>
        <w:rPr>
          <w:rFonts w:hint="eastAsia"/>
        </w:rPr>
        <w:t>《国家发展改革委关于印发绿色生活创建行动总体方案的通知》（发改环资</w:t>
      </w:r>
      <w:r>
        <w:rPr>
          <w:rFonts w:ascii="宋体" w:hAnsi="宋体" w:cs="宋体" w:hint="eastAsia"/>
          <w:kern w:val="0"/>
        </w:rPr>
        <w:t>〔</w:t>
      </w:r>
      <w:r>
        <w:rPr>
          <w:kern w:val="0"/>
        </w:rPr>
        <w:t>201</w:t>
      </w:r>
      <w:r>
        <w:rPr>
          <w:rFonts w:hint="eastAsia"/>
          <w:kern w:val="0"/>
        </w:rPr>
        <w:t>9</w:t>
      </w:r>
      <w:r>
        <w:rPr>
          <w:rFonts w:ascii="宋体" w:hAnsi="宋体" w:cs="宋体" w:hint="eastAsia"/>
          <w:kern w:val="0"/>
        </w:rPr>
        <w:t>〕</w:t>
      </w:r>
      <w:r>
        <w:rPr>
          <w:rFonts w:hint="eastAsia"/>
        </w:rPr>
        <w:t>1696</w:t>
      </w:r>
      <w:r>
        <w:rPr>
          <w:rFonts w:hint="eastAsia"/>
        </w:rPr>
        <w:t>号）</w:t>
      </w:r>
      <w:r>
        <w:rPr>
          <w:rFonts w:hint="eastAsia"/>
          <w:kern w:val="0"/>
        </w:rPr>
        <w:t>等法律法规对节能减排的要求。</w:t>
      </w:r>
    </w:p>
    <w:p w:rsidR="008E7D53" w:rsidRDefault="0098666E">
      <w:pPr>
        <w:pStyle w:val="affe"/>
        <w:ind w:firstLine="480"/>
        <w:rPr>
          <w:kern w:val="0"/>
        </w:rPr>
      </w:pPr>
      <w:r>
        <w:rPr>
          <w:rFonts w:hint="eastAsia"/>
          <w:kern w:val="0"/>
        </w:rPr>
        <w:t>本文件符合江苏省发布《省政府关于推进绿色产业发展和意见》（苏政发〔</w:t>
      </w:r>
      <w:r>
        <w:rPr>
          <w:rFonts w:hint="eastAsia"/>
          <w:kern w:val="0"/>
        </w:rPr>
        <w:t>2020</w:t>
      </w:r>
      <w:r>
        <w:rPr>
          <w:rFonts w:hint="eastAsia"/>
          <w:kern w:val="0"/>
        </w:rPr>
        <w:t>〕</w:t>
      </w:r>
      <w:r>
        <w:rPr>
          <w:rFonts w:hint="eastAsia"/>
          <w:kern w:val="0"/>
        </w:rPr>
        <w:t>28</w:t>
      </w:r>
      <w:r>
        <w:rPr>
          <w:rFonts w:hint="eastAsia"/>
          <w:kern w:val="0"/>
        </w:rPr>
        <w:t>号）中提出要强化能耗、水耗、环保、安全和技术等标准约束的要求，有利于城镇污水处理厂节能降耗。</w:t>
      </w:r>
    </w:p>
    <w:p w:rsidR="008E7D53" w:rsidRDefault="0098666E">
      <w:pPr>
        <w:pStyle w:val="1"/>
        <w:spacing w:after="156"/>
        <w:textAlignment w:val="baseline"/>
      </w:pPr>
      <w:bookmarkStart w:id="44" w:name="_Toc89240956"/>
      <w:r>
        <w:t xml:space="preserve">6 </w:t>
      </w:r>
      <w:r>
        <w:rPr>
          <w:rFonts w:hint="eastAsia"/>
        </w:rPr>
        <w:t>实施推广建议</w:t>
      </w:r>
      <w:bookmarkEnd w:id="44"/>
    </w:p>
    <w:p w:rsidR="008E7D53" w:rsidRDefault="0098666E">
      <w:pPr>
        <w:ind w:firstLine="480"/>
        <w:textAlignment w:val="baseline"/>
        <w:rPr>
          <w:sz w:val="20"/>
        </w:rPr>
      </w:pPr>
      <w:r>
        <w:rPr>
          <w:rFonts w:hint="eastAsia"/>
        </w:rPr>
        <w:t>基于目前数据的可获得性，本文件用于能耗计算的电耗为城镇污水处理厂统</w:t>
      </w:r>
      <w:r>
        <w:rPr>
          <w:rFonts w:hint="eastAsia"/>
        </w:rPr>
        <w:t>计的</w:t>
      </w:r>
      <w:r>
        <w:rPr>
          <w:rFonts w:hint="eastAsia"/>
        </w:rPr>
        <w:t>污水处理厂年耗电量，总污染物进出水浓度也为同一统计年份内的年均值。为更好、更及时的掌握污水处理厂污水处理能效水平，保障本文件的实施</w:t>
      </w:r>
      <w:r>
        <w:rPr>
          <w:rFonts w:hint="eastAsia"/>
        </w:rPr>
        <w:t>以及实现绿色节能目标，建议污水处理厂进一步完善电耗计量设备和水质监测设备，增加对</w:t>
      </w:r>
      <w:r>
        <w:rPr>
          <w:rFonts w:hint="eastAsia"/>
        </w:rPr>
        <w:t>C</w:t>
      </w:r>
      <w:r>
        <w:t>OD</w:t>
      </w:r>
      <w:r>
        <w:rPr>
          <w:rFonts w:hint="eastAsia"/>
        </w:rPr>
        <w:t>、氨氮、总磷和总氮以外的常规水污染物指标的监测频率，做好日常数据管理台账和存档，以周、月、季度和年为评价周期对能耗使用情况进行连续统计，对污水处理能效进行连续评估。</w:t>
      </w:r>
    </w:p>
    <w:p w:rsidR="008E7D53" w:rsidRDefault="0098666E">
      <w:pPr>
        <w:spacing w:after="156"/>
        <w:ind w:firstLineChars="0" w:firstLine="0"/>
        <w:jc w:val="right"/>
        <w:textAlignment w:val="baseline"/>
        <w:rPr>
          <w:sz w:val="20"/>
          <w:szCs w:val="21"/>
        </w:rPr>
      </w:pPr>
      <w:r>
        <w:rPr>
          <w:szCs w:val="21"/>
        </w:rPr>
        <w:t>《</w:t>
      </w:r>
      <w:r>
        <w:rPr>
          <w:rFonts w:hint="eastAsia"/>
          <w:szCs w:val="21"/>
        </w:rPr>
        <w:t>污水生物处理系统能效评价方法</w:t>
      </w:r>
      <w:r>
        <w:rPr>
          <w:szCs w:val="21"/>
        </w:rPr>
        <w:t>》编制组</w:t>
      </w:r>
    </w:p>
    <w:p w:rsidR="008E7D53" w:rsidRDefault="0098666E">
      <w:pPr>
        <w:spacing w:after="156"/>
        <w:ind w:firstLine="480"/>
        <w:jc w:val="right"/>
        <w:textAlignment w:val="baseline"/>
        <w:rPr>
          <w:sz w:val="20"/>
        </w:rPr>
      </w:pPr>
      <w:r>
        <w:rPr>
          <w:szCs w:val="21"/>
        </w:rPr>
        <w:t>2021</w:t>
      </w:r>
      <w:r>
        <w:rPr>
          <w:szCs w:val="21"/>
        </w:rPr>
        <w:t>年</w:t>
      </w:r>
      <w:r>
        <w:rPr>
          <w:szCs w:val="21"/>
        </w:rPr>
        <w:t>11</w:t>
      </w:r>
      <w:r>
        <w:rPr>
          <w:rFonts w:hint="eastAsia"/>
          <w:szCs w:val="21"/>
        </w:rPr>
        <w:t>月</w:t>
      </w:r>
    </w:p>
    <w:sectPr w:rsidR="008E7D53">
      <w:pgSz w:w="11906" w:h="16838"/>
      <w:pgMar w:top="1440" w:right="1797" w:bottom="1440" w:left="1797"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66E" w:rsidRDefault="0098666E">
      <w:pPr>
        <w:spacing w:line="240" w:lineRule="auto"/>
        <w:ind w:firstLine="480"/>
      </w:pPr>
      <w:r>
        <w:separator/>
      </w:r>
    </w:p>
  </w:endnote>
  <w:endnote w:type="continuationSeparator" w:id="0">
    <w:p w:rsidR="0098666E" w:rsidRDefault="0098666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D53" w:rsidRDefault="008E7D53">
    <w:pPr>
      <w:spacing w:after="120"/>
      <w:ind w:firstLine="480"/>
    </w:pPr>
  </w:p>
  <w:p w:rsidR="008E7D53" w:rsidRDefault="0098666E">
    <w:pPr>
      <w:pStyle w:val="af9"/>
      <w:framePr w:wrap="around" w:vAnchor="text" w:hAnchor="margin" w:xAlign="center" w:y="1"/>
      <w:spacing w:after="120"/>
      <w:ind w:firstLine="360"/>
      <w:rPr>
        <w:rStyle w:val="aff7"/>
      </w:rPr>
    </w:pPr>
    <w:r>
      <w:fldChar w:fldCharType="begin"/>
    </w:r>
    <w:r>
      <w:rPr>
        <w:rStyle w:val="aff7"/>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D53" w:rsidRDefault="008E7D53">
    <w:pPr>
      <w:spacing w:after="120"/>
      <w:ind w:firstLine="480"/>
    </w:pPr>
  </w:p>
  <w:p w:rsidR="008E7D53" w:rsidRDefault="0098666E">
    <w:pPr>
      <w:pStyle w:val="af9"/>
      <w:framePr w:wrap="around" w:vAnchor="text" w:hAnchor="margin" w:xAlign="center" w:y="1"/>
      <w:spacing w:after="120"/>
      <w:ind w:firstLine="360"/>
      <w:rPr>
        <w:rStyle w:val="aff7"/>
      </w:rPr>
    </w:pPr>
    <w:r>
      <w:fldChar w:fldCharType="begin"/>
    </w:r>
    <w:r>
      <w:rPr>
        <w:rStyle w:val="aff7"/>
      </w:rPr>
      <w:instrText xml:space="preserve">PAGE  </w:instrText>
    </w:r>
    <w:r>
      <w:fldChar w:fldCharType="separate"/>
    </w:r>
    <w:r>
      <w:rPr>
        <w:rStyle w:val="aff7"/>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D53" w:rsidRDefault="008E7D53">
    <w:pPr>
      <w:pStyle w:val="af9"/>
      <w:spacing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297881"/>
    </w:sdtPr>
    <w:sdtEndPr/>
    <w:sdtContent>
      <w:p w:rsidR="008E7D53" w:rsidRDefault="0098666E">
        <w:pPr>
          <w:pStyle w:val="af9"/>
          <w:spacing w:after="120"/>
          <w:ind w:firstLine="360"/>
          <w:jc w:val="center"/>
        </w:pPr>
        <w:r>
          <w:fldChar w:fldCharType="begin"/>
        </w:r>
        <w:r>
          <w:instrText>PAGE   \* M</w:instrText>
        </w:r>
        <w:r>
          <w:instrText>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66E" w:rsidRDefault="0098666E">
      <w:pPr>
        <w:ind w:firstLine="480"/>
      </w:pPr>
      <w:r>
        <w:separator/>
      </w:r>
    </w:p>
  </w:footnote>
  <w:footnote w:type="continuationSeparator" w:id="0">
    <w:p w:rsidR="0098666E" w:rsidRDefault="0098666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D53" w:rsidRDefault="008E7D53">
    <w:pPr>
      <w:pStyle w:val="afb"/>
      <w:spacing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D53" w:rsidRDefault="008E7D53">
    <w:pPr>
      <w:pStyle w:val="afb"/>
      <w:pBdr>
        <w:bottom w:val="none" w:sz="0" w:space="0" w:color="auto"/>
      </w:pBdr>
      <w:spacing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D53" w:rsidRDefault="008E7D53">
    <w:pPr>
      <w:pStyle w:val="afb"/>
      <w:pBdr>
        <w:bottom w:val="none" w:sz="0" w:space="0" w:color="auto"/>
      </w:pBdr>
      <w:spacing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E55"/>
    <w:multiLevelType w:val="multilevel"/>
    <w:tmpl w:val="01537E55"/>
    <w:lvl w:ilvl="0">
      <w:start w:val="1"/>
      <w:numFmt w:val="chineseCountingThousand"/>
      <w:pStyle w:val="2"/>
      <w:lvlText w:val="(%1) "/>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05DD1466"/>
    <w:multiLevelType w:val="multilevel"/>
    <w:tmpl w:val="05DD1466"/>
    <w:lvl w:ilvl="0">
      <w:start w:val="1"/>
      <w:numFmt w:val="decimal"/>
      <w:pStyle w:val="a"/>
      <w:lvlText w:val="%1."/>
      <w:lvlJc w:val="left"/>
      <w:pPr>
        <w:ind w:left="360" w:hanging="360"/>
      </w:pPr>
      <w:rPr>
        <w:rFonts w:hint="default"/>
        <w:strike w:val="0"/>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992" w:firstLine="0"/>
      </w:pPr>
      <w:rPr>
        <w:rFonts w:ascii="黑体" w:eastAsia="黑体" w:hAnsi="Times New Roman" w:hint="eastAsia"/>
        <w:b w:val="0"/>
        <w:i w:val="0"/>
        <w:sz w:val="28"/>
        <w:szCs w:val="28"/>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2827D5B"/>
    <w:multiLevelType w:val="multilevel"/>
    <w:tmpl w:val="22827D5B"/>
    <w:lvl w:ilvl="0">
      <w:start w:val="1"/>
      <w:numFmt w:val="none"/>
      <w:pStyle w:val="a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 w15:restartNumberingAfterBreak="0">
    <w:nsid w:val="2C5917C3"/>
    <w:multiLevelType w:val="multilevel"/>
    <w:tmpl w:val="2C5917C3"/>
    <w:lvl w:ilvl="0">
      <w:start w:val="1"/>
      <w:numFmt w:val="none"/>
      <w:pStyle w:val="a6"/>
      <w:suff w:val="nothing"/>
      <w:lvlText w:val="%1——"/>
      <w:lvlJc w:val="left"/>
      <w:pPr>
        <w:ind w:left="976"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390D5DDF"/>
    <w:multiLevelType w:val="multilevel"/>
    <w:tmpl w:val="390D5DDF"/>
    <w:lvl w:ilvl="0">
      <w:start w:val="1"/>
      <w:numFmt w:val="decimal"/>
      <w:lvlText w:val="（%1）"/>
      <w:lvlJc w:val="left"/>
      <w:pPr>
        <w:ind w:left="90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E93A07"/>
    <w:multiLevelType w:val="singleLevel"/>
    <w:tmpl w:val="42E93A07"/>
    <w:lvl w:ilvl="0">
      <w:start w:val="1"/>
      <w:numFmt w:val="decimal"/>
      <w:suff w:val="nothing"/>
      <w:lvlText w:val="%1）"/>
      <w:lvlJc w:val="left"/>
    </w:lvl>
  </w:abstractNum>
  <w:abstractNum w:abstractNumId="7" w15:restartNumberingAfterBreak="0">
    <w:nsid w:val="445E021F"/>
    <w:multiLevelType w:val="multilevel"/>
    <w:tmpl w:val="445E02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a9"/>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6"/>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5D7699"/>
    <w:rsid w:val="000012ED"/>
    <w:rsid w:val="000076AF"/>
    <w:rsid w:val="00007B1B"/>
    <w:rsid w:val="00007D5E"/>
    <w:rsid w:val="000115AF"/>
    <w:rsid w:val="00016F16"/>
    <w:rsid w:val="00021D29"/>
    <w:rsid w:val="0002220B"/>
    <w:rsid w:val="0002303A"/>
    <w:rsid w:val="00026504"/>
    <w:rsid w:val="00026890"/>
    <w:rsid w:val="00031D86"/>
    <w:rsid w:val="00032E0F"/>
    <w:rsid w:val="00034D86"/>
    <w:rsid w:val="00036B6B"/>
    <w:rsid w:val="000401EA"/>
    <w:rsid w:val="00040F70"/>
    <w:rsid w:val="00042766"/>
    <w:rsid w:val="000450D9"/>
    <w:rsid w:val="00046424"/>
    <w:rsid w:val="0005036F"/>
    <w:rsid w:val="00051B20"/>
    <w:rsid w:val="00053C64"/>
    <w:rsid w:val="00054685"/>
    <w:rsid w:val="00054FF1"/>
    <w:rsid w:val="00056268"/>
    <w:rsid w:val="000565EA"/>
    <w:rsid w:val="00056D76"/>
    <w:rsid w:val="000623D4"/>
    <w:rsid w:val="00062814"/>
    <w:rsid w:val="00072FF4"/>
    <w:rsid w:val="0007388E"/>
    <w:rsid w:val="00076834"/>
    <w:rsid w:val="000777A2"/>
    <w:rsid w:val="0008155B"/>
    <w:rsid w:val="000817BC"/>
    <w:rsid w:val="00081E3B"/>
    <w:rsid w:val="00082A7E"/>
    <w:rsid w:val="00084229"/>
    <w:rsid w:val="00085290"/>
    <w:rsid w:val="0008584D"/>
    <w:rsid w:val="0008756D"/>
    <w:rsid w:val="00087D01"/>
    <w:rsid w:val="00092033"/>
    <w:rsid w:val="000922E3"/>
    <w:rsid w:val="0009381E"/>
    <w:rsid w:val="00093E74"/>
    <w:rsid w:val="00094057"/>
    <w:rsid w:val="00095819"/>
    <w:rsid w:val="00095EC3"/>
    <w:rsid w:val="000975D8"/>
    <w:rsid w:val="000A00BE"/>
    <w:rsid w:val="000A0180"/>
    <w:rsid w:val="000A019C"/>
    <w:rsid w:val="000A02C2"/>
    <w:rsid w:val="000A1AB8"/>
    <w:rsid w:val="000A4054"/>
    <w:rsid w:val="000A4296"/>
    <w:rsid w:val="000A6CB2"/>
    <w:rsid w:val="000B3A4A"/>
    <w:rsid w:val="000B69A2"/>
    <w:rsid w:val="000B6B71"/>
    <w:rsid w:val="000B78A9"/>
    <w:rsid w:val="000C02CC"/>
    <w:rsid w:val="000C1C9C"/>
    <w:rsid w:val="000C2A8F"/>
    <w:rsid w:val="000C45B0"/>
    <w:rsid w:val="000C5C38"/>
    <w:rsid w:val="000C65FA"/>
    <w:rsid w:val="000C70E1"/>
    <w:rsid w:val="000C7FAA"/>
    <w:rsid w:val="000D3549"/>
    <w:rsid w:val="000D3ED0"/>
    <w:rsid w:val="000D6F89"/>
    <w:rsid w:val="000E000A"/>
    <w:rsid w:val="000E03C8"/>
    <w:rsid w:val="000E0CBC"/>
    <w:rsid w:val="000E4E07"/>
    <w:rsid w:val="000E53C6"/>
    <w:rsid w:val="000E752C"/>
    <w:rsid w:val="000F09D8"/>
    <w:rsid w:val="000F0F46"/>
    <w:rsid w:val="000F12C6"/>
    <w:rsid w:val="000F339A"/>
    <w:rsid w:val="000F3850"/>
    <w:rsid w:val="000F5218"/>
    <w:rsid w:val="000F53E8"/>
    <w:rsid w:val="000F6036"/>
    <w:rsid w:val="000F620F"/>
    <w:rsid w:val="000F7CD8"/>
    <w:rsid w:val="00101992"/>
    <w:rsid w:val="001025E4"/>
    <w:rsid w:val="00102651"/>
    <w:rsid w:val="0010518D"/>
    <w:rsid w:val="00105563"/>
    <w:rsid w:val="0010789A"/>
    <w:rsid w:val="00110A7A"/>
    <w:rsid w:val="00110B5E"/>
    <w:rsid w:val="00111A39"/>
    <w:rsid w:val="00111CFE"/>
    <w:rsid w:val="00112DDF"/>
    <w:rsid w:val="00112FAA"/>
    <w:rsid w:val="001140D6"/>
    <w:rsid w:val="00114C4E"/>
    <w:rsid w:val="00117C88"/>
    <w:rsid w:val="0012089B"/>
    <w:rsid w:val="00121D88"/>
    <w:rsid w:val="00121F32"/>
    <w:rsid w:val="00121FAB"/>
    <w:rsid w:val="00123771"/>
    <w:rsid w:val="00123EDD"/>
    <w:rsid w:val="001254CD"/>
    <w:rsid w:val="001272B7"/>
    <w:rsid w:val="001314A0"/>
    <w:rsid w:val="00131767"/>
    <w:rsid w:val="00132186"/>
    <w:rsid w:val="00132E3D"/>
    <w:rsid w:val="00134244"/>
    <w:rsid w:val="001347B7"/>
    <w:rsid w:val="00134918"/>
    <w:rsid w:val="001356AB"/>
    <w:rsid w:val="001402D1"/>
    <w:rsid w:val="00144C7D"/>
    <w:rsid w:val="00150FF5"/>
    <w:rsid w:val="00151E8D"/>
    <w:rsid w:val="00152A01"/>
    <w:rsid w:val="00154518"/>
    <w:rsid w:val="00154C45"/>
    <w:rsid w:val="00157B46"/>
    <w:rsid w:val="00161167"/>
    <w:rsid w:val="0016164D"/>
    <w:rsid w:val="0016185C"/>
    <w:rsid w:val="00163B20"/>
    <w:rsid w:val="001641BB"/>
    <w:rsid w:val="001661F0"/>
    <w:rsid w:val="0016653F"/>
    <w:rsid w:val="001665B8"/>
    <w:rsid w:val="00171CB3"/>
    <w:rsid w:val="0017391F"/>
    <w:rsid w:val="00177880"/>
    <w:rsid w:val="00180CB6"/>
    <w:rsid w:val="00183DC9"/>
    <w:rsid w:val="00183EC6"/>
    <w:rsid w:val="00184801"/>
    <w:rsid w:val="00185B70"/>
    <w:rsid w:val="001900D7"/>
    <w:rsid w:val="0019024B"/>
    <w:rsid w:val="001908F3"/>
    <w:rsid w:val="00190ECE"/>
    <w:rsid w:val="00194635"/>
    <w:rsid w:val="001972D7"/>
    <w:rsid w:val="001977A8"/>
    <w:rsid w:val="001A29D1"/>
    <w:rsid w:val="001A2D46"/>
    <w:rsid w:val="001A3FAD"/>
    <w:rsid w:val="001A48F7"/>
    <w:rsid w:val="001A5073"/>
    <w:rsid w:val="001A6276"/>
    <w:rsid w:val="001B004C"/>
    <w:rsid w:val="001B2426"/>
    <w:rsid w:val="001B38F1"/>
    <w:rsid w:val="001B4467"/>
    <w:rsid w:val="001C03CA"/>
    <w:rsid w:val="001C35E5"/>
    <w:rsid w:val="001D0C4C"/>
    <w:rsid w:val="001D104B"/>
    <w:rsid w:val="001D266A"/>
    <w:rsid w:val="001D3B75"/>
    <w:rsid w:val="001D4215"/>
    <w:rsid w:val="001D6FE3"/>
    <w:rsid w:val="001D74F1"/>
    <w:rsid w:val="001E17EF"/>
    <w:rsid w:val="001E280F"/>
    <w:rsid w:val="001E2A23"/>
    <w:rsid w:val="001E4196"/>
    <w:rsid w:val="001E4EB8"/>
    <w:rsid w:val="001E6D88"/>
    <w:rsid w:val="001E6EA8"/>
    <w:rsid w:val="001F0840"/>
    <w:rsid w:val="001F1166"/>
    <w:rsid w:val="001F18C8"/>
    <w:rsid w:val="001F37BF"/>
    <w:rsid w:val="001F4240"/>
    <w:rsid w:val="001F4621"/>
    <w:rsid w:val="001F48D2"/>
    <w:rsid w:val="001F5478"/>
    <w:rsid w:val="001F6C5A"/>
    <w:rsid w:val="001F733F"/>
    <w:rsid w:val="00200645"/>
    <w:rsid w:val="00200D36"/>
    <w:rsid w:val="00201050"/>
    <w:rsid w:val="00201330"/>
    <w:rsid w:val="0020164F"/>
    <w:rsid w:val="00201BE2"/>
    <w:rsid w:val="00202B5D"/>
    <w:rsid w:val="002042EF"/>
    <w:rsid w:val="00204610"/>
    <w:rsid w:val="002050A3"/>
    <w:rsid w:val="002061F6"/>
    <w:rsid w:val="00211135"/>
    <w:rsid w:val="00212764"/>
    <w:rsid w:val="002147EE"/>
    <w:rsid w:val="00216B21"/>
    <w:rsid w:val="00220782"/>
    <w:rsid w:val="00222F4F"/>
    <w:rsid w:val="00224A2F"/>
    <w:rsid w:val="00226410"/>
    <w:rsid w:val="00226522"/>
    <w:rsid w:val="00226A0E"/>
    <w:rsid w:val="0022722D"/>
    <w:rsid w:val="00230F44"/>
    <w:rsid w:val="0023111E"/>
    <w:rsid w:val="0023177C"/>
    <w:rsid w:val="00231798"/>
    <w:rsid w:val="00231B87"/>
    <w:rsid w:val="00231CA0"/>
    <w:rsid w:val="002333B8"/>
    <w:rsid w:val="00233482"/>
    <w:rsid w:val="00233BAC"/>
    <w:rsid w:val="00236FA7"/>
    <w:rsid w:val="0024018B"/>
    <w:rsid w:val="00241774"/>
    <w:rsid w:val="00244558"/>
    <w:rsid w:val="002451A0"/>
    <w:rsid w:val="00245CBF"/>
    <w:rsid w:val="00245F15"/>
    <w:rsid w:val="00246E79"/>
    <w:rsid w:val="002475FB"/>
    <w:rsid w:val="002505B7"/>
    <w:rsid w:val="00250F49"/>
    <w:rsid w:val="00251810"/>
    <w:rsid w:val="002518DA"/>
    <w:rsid w:val="002524D4"/>
    <w:rsid w:val="00252F33"/>
    <w:rsid w:val="00254A01"/>
    <w:rsid w:val="00256B51"/>
    <w:rsid w:val="002577C6"/>
    <w:rsid w:val="0026087B"/>
    <w:rsid w:val="002618AB"/>
    <w:rsid w:val="00261F29"/>
    <w:rsid w:val="002622A4"/>
    <w:rsid w:val="00264611"/>
    <w:rsid w:val="00265C07"/>
    <w:rsid w:val="00265F87"/>
    <w:rsid w:val="00273A49"/>
    <w:rsid w:val="00273CBF"/>
    <w:rsid w:val="00274292"/>
    <w:rsid w:val="00275434"/>
    <w:rsid w:val="002769E1"/>
    <w:rsid w:val="002775BE"/>
    <w:rsid w:val="00277ACF"/>
    <w:rsid w:val="002800DE"/>
    <w:rsid w:val="00281B34"/>
    <w:rsid w:val="00282C13"/>
    <w:rsid w:val="00284158"/>
    <w:rsid w:val="00284622"/>
    <w:rsid w:val="002860FB"/>
    <w:rsid w:val="002877A0"/>
    <w:rsid w:val="00290B75"/>
    <w:rsid w:val="00290E86"/>
    <w:rsid w:val="00291791"/>
    <w:rsid w:val="0029355F"/>
    <w:rsid w:val="002947DA"/>
    <w:rsid w:val="00294FAD"/>
    <w:rsid w:val="002962DB"/>
    <w:rsid w:val="002A02E7"/>
    <w:rsid w:val="002A0B23"/>
    <w:rsid w:val="002A1B83"/>
    <w:rsid w:val="002A23F0"/>
    <w:rsid w:val="002A317D"/>
    <w:rsid w:val="002A46A8"/>
    <w:rsid w:val="002A4886"/>
    <w:rsid w:val="002B0E64"/>
    <w:rsid w:val="002B0EFA"/>
    <w:rsid w:val="002B1463"/>
    <w:rsid w:val="002B161C"/>
    <w:rsid w:val="002B1800"/>
    <w:rsid w:val="002B2467"/>
    <w:rsid w:val="002B398D"/>
    <w:rsid w:val="002B5EAE"/>
    <w:rsid w:val="002C2DA0"/>
    <w:rsid w:val="002C38F8"/>
    <w:rsid w:val="002C40EB"/>
    <w:rsid w:val="002C4CCC"/>
    <w:rsid w:val="002C5287"/>
    <w:rsid w:val="002C6530"/>
    <w:rsid w:val="002C6810"/>
    <w:rsid w:val="002C76EF"/>
    <w:rsid w:val="002D4394"/>
    <w:rsid w:val="002D79E1"/>
    <w:rsid w:val="002E008F"/>
    <w:rsid w:val="002E404B"/>
    <w:rsid w:val="002E5408"/>
    <w:rsid w:val="002E5884"/>
    <w:rsid w:val="002E58D7"/>
    <w:rsid w:val="002E75D0"/>
    <w:rsid w:val="002F2608"/>
    <w:rsid w:val="002F2AEA"/>
    <w:rsid w:val="002F3607"/>
    <w:rsid w:val="002F41FB"/>
    <w:rsid w:val="002F4505"/>
    <w:rsid w:val="002F539B"/>
    <w:rsid w:val="002F64F9"/>
    <w:rsid w:val="00301284"/>
    <w:rsid w:val="00301C1D"/>
    <w:rsid w:val="003033C8"/>
    <w:rsid w:val="00304076"/>
    <w:rsid w:val="00304973"/>
    <w:rsid w:val="00304F31"/>
    <w:rsid w:val="00306376"/>
    <w:rsid w:val="00306421"/>
    <w:rsid w:val="003073A4"/>
    <w:rsid w:val="00313187"/>
    <w:rsid w:val="00313A99"/>
    <w:rsid w:val="00316C39"/>
    <w:rsid w:val="0032097D"/>
    <w:rsid w:val="0032349E"/>
    <w:rsid w:val="003238E3"/>
    <w:rsid w:val="003248BC"/>
    <w:rsid w:val="00324D28"/>
    <w:rsid w:val="00326DB1"/>
    <w:rsid w:val="0033081C"/>
    <w:rsid w:val="0033209F"/>
    <w:rsid w:val="00332865"/>
    <w:rsid w:val="00333338"/>
    <w:rsid w:val="003334CC"/>
    <w:rsid w:val="00333E72"/>
    <w:rsid w:val="003351C2"/>
    <w:rsid w:val="0033565D"/>
    <w:rsid w:val="00337365"/>
    <w:rsid w:val="003376B7"/>
    <w:rsid w:val="00337E76"/>
    <w:rsid w:val="00345717"/>
    <w:rsid w:val="00346AAB"/>
    <w:rsid w:val="00346BFA"/>
    <w:rsid w:val="00346CD3"/>
    <w:rsid w:val="00346E79"/>
    <w:rsid w:val="00351BE5"/>
    <w:rsid w:val="003534F9"/>
    <w:rsid w:val="003546B5"/>
    <w:rsid w:val="00356F41"/>
    <w:rsid w:val="00357723"/>
    <w:rsid w:val="003604A8"/>
    <w:rsid w:val="003646E9"/>
    <w:rsid w:val="00364ACC"/>
    <w:rsid w:val="00364FDF"/>
    <w:rsid w:val="00366261"/>
    <w:rsid w:val="00371C80"/>
    <w:rsid w:val="00374393"/>
    <w:rsid w:val="00374846"/>
    <w:rsid w:val="003754C7"/>
    <w:rsid w:val="00376BB1"/>
    <w:rsid w:val="003813D7"/>
    <w:rsid w:val="00381580"/>
    <w:rsid w:val="00382372"/>
    <w:rsid w:val="0038352C"/>
    <w:rsid w:val="003838DF"/>
    <w:rsid w:val="0038418F"/>
    <w:rsid w:val="00384856"/>
    <w:rsid w:val="00384C0E"/>
    <w:rsid w:val="00386AD7"/>
    <w:rsid w:val="00386C4A"/>
    <w:rsid w:val="003872D6"/>
    <w:rsid w:val="003873F5"/>
    <w:rsid w:val="003911BA"/>
    <w:rsid w:val="00392426"/>
    <w:rsid w:val="003929D8"/>
    <w:rsid w:val="00396CE6"/>
    <w:rsid w:val="003A08F0"/>
    <w:rsid w:val="003A2214"/>
    <w:rsid w:val="003A3079"/>
    <w:rsid w:val="003A390D"/>
    <w:rsid w:val="003A3A5A"/>
    <w:rsid w:val="003A40A5"/>
    <w:rsid w:val="003A5D11"/>
    <w:rsid w:val="003A602D"/>
    <w:rsid w:val="003A613C"/>
    <w:rsid w:val="003B0727"/>
    <w:rsid w:val="003B11CB"/>
    <w:rsid w:val="003B2745"/>
    <w:rsid w:val="003B6121"/>
    <w:rsid w:val="003B7642"/>
    <w:rsid w:val="003C08E9"/>
    <w:rsid w:val="003C157B"/>
    <w:rsid w:val="003C1CCB"/>
    <w:rsid w:val="003C1E9E"/>
    <w:rsid w:val="003C1FA9"/>
    <w:rsid w:val="003C2193"/>
    <w:rsid w:val="003C22F3"/>
    <w:rsid w:val="003C3C0F"/>
    <w:rsid w:val="003C7696"/>
    <w:rsid w:val="003C7797"/>
    <w:rsid w:val="003C7C9D"/>
    <w:rsid w:val="003D1B07"/>
    <w:rsid w:val="003D261F"/>
    <w:rsid w:val="003D2F1C"/>
    <w:rsid w:val="003D370B"/>
    <w:rsid w:val="003D3DD4"/>
    <w:rsid w:val="003D6D6F"/>
    <w:rsid w:val="003E0330"/>
    <w:rsid w:val="003E1887"/>
    <w:rsid w:val="003E1B39"/>
    <w:rsid w:val="003E236E"/>
    <w:rsid w:val="003E5E46"/>
    <w:rsid w:val="003E61AA"/>
    <w:rsid w:val="003F0A9A"/>
    <w:rsid w:val="003F1F20"/>
    <w:rsid w:val="003F28C0"/>
    <w:rsid w:val="003F2D4F"/>
    <w:rsid w:val="003F4F84"/>
    <w:rsid w:val="003F606E"/>
    <w:rsid w:val="00401B4C"/>
    <w:rsid w:val="0040293A"/>
    <w:rsid w:val="00402AAC"/>
    <w:rsid w:val="00403043"/>
    <w:rsid w:val="00404B37"/>
    <w:rsid w:val="00404D0D"/>
    <w:rsid w:val="00405C3E"/>
    <w:rsid w:val="0040614D"/>
    <w:rsid w:val="0041028B"/>
    <w:rsid w:val="00412E88"/>
    <w:rsid w:val="00414F1E"/>
    <w:rsid w:val="00415416"/>
    <w:rsid w:val="00417E39"/>
    <w:rsid w:val="00421BF0"/>
    <w:rsid w:val="004224AD"/>
    <w:rsid w:val="00422CDC"/>
    <w:rsid w:val="0042421C"/>
    <w:rsid w:val="0042608F"/>
    <w:rsid w:val="004262D9"/>
    <w:rsid w:val="00426B8C"/>
    <w:rsid w:val="00427433"/>
    <w:rsid w:val="00427C10"/>
    <w:rsid w:val="00430046"/>
    <w:rsid w:val="004318E8"/>
    <w:rsid w:val="00431A90"/>
    <w:rsid w:val="00431EBF"/>
    <w:rsid w:val="00432585"/>
    <w:rsid w:val="00437202"/>
    <w:rsid w:val="00437C90"/>
    <w:rsid w:val="00437FAC"/>
    <w:rsid w:val="00440DEE"/>
    <w:rsid w:val="004410B0"/>
    <w:rsid w:val="00441942"/>
    <w:rsid w:val="004460E6"/>
    <w:rsid w:val="0044763F"/>
    <w:rsid w:val="00447C6B"/>
    <w:rsid w:val="00451A7E"/>
    <w:rsid w:val="00451D28"/>
    <w:rsid w:val="00453ADC"/>
    <w:rsid w:val="004546AE"/>
    <w:rsid w:val="004556C2"/>
    <w:rsid w:val="004604A0"/>
    <w:rsid w:val="00461D9A"/>
    <w:rsid w:val="00462BF0"/>
    <w:rsid w:val="00462C54"/>
    <w:rsid w:val="00463174"/>
    <w:rsid w:val="00464826"/>
    <w:rsid w:val="004656B2"/>
    <w:rsid w:val="004667BA"/>
    <w:rsid w:val="00466ACA"/>
    <w:rsid w:val="00466AFE"/>
    <w:rsid w:val="00467DA2"/>
    <w:rsid w:val="00480420"/>
    <w:rsid w:val="00480B06"/>
    <w:rsid w:val="004819A7"/>
    <w:rsid w:val="00481E4C"/>
    <w:rsid w:val="00482C4A"/>
    <w:rsid w:val="00483710"/>
    <w:rsid w:val="00485569"/>
    <w:rsid w:val="00485CF5"/>
    <w:rsid w:val="0048727C"/>
    <w:rsid w:val="00490891"/>
    <w:rsid w:val="00491032"/>
    <w:rsid w:val="00491B3B"/>
    <w:rsid w:val="004928AA"/>
    <w:rsid w:val="00494D79"/>
    <w:rsid w:val="00495719"/>
    <w:rsid w:val="00496371"/>
    <w:rsid w:val="0049649C"/>
    <w:rsid w:val="00496518"/>
    <w:rsid w:val="004972AC"/>
    <w:rsid w:val="004A0216"/>
    <w:rsid w:val="004A13BF"/>
    <w:rsid w:val="004A14D1"/>
    <w:rsid w:val="004A246C"/>
    <w:rsid w:val="004A24FD"/>
    <w:rsid w:val="004A317D"/>
    <w:rsid w:val="004A37D9"/>
    <w:rsid w:val="004A5366"/>
    <w:rsid w:val="004A558D"/>
    <w:rsid w:val="004A6497"/>
    <w:rsid w:val="004A70E4"/>
    <w:rsid w:val="004B1E46"/>
    <w:rsid w:val="004B2BBD"/>
    <w:rsid w:val="004B3EEC"/>
    <w:rsid w:val="004B5639"/>
    <w:rsid w:val="004B77CB"/>
    <w:rsid w:val="004B790B"/>
    <w:rsid w:val="004B7B25"/>
    <w:rsid w:val="004C1578"/>
    <w:rsid w:val="004C29FF"/>
    <w:rsid w:val="004C30E8"/>
    <w:rsid w:val="004C526D"/>
    <w:rsid w:val="004C635D"/>
    <w:rsid w:val="004C66E7"/>
    <w:rsid w:val="004D05F5"/>
    <w:rsid w:val="004D0A9B"/>
    <w:rsid w:val="004D0ECF"/>
    <w:rsid w:val="004D1164"/>
    <w:rsid w:val="004D24CA"/>
    <w:rsid w:val="004D2C06"/>
    <w:rsid w:val="004D344D"/>
    <w:rsid w:val="004D5DEB"/>
    <w:rsid w:val="004D6DE3"/>
    <w:rsid w:val="004D704D"/>
    <w:rsid w:val="004D7E5A"/>
    <w:rsid w:val="004E05CE"/>
    <w:rsid w:val="004E1367"/>
    <w:rsid w:val="004E2ABE"/>
    <w:rsid w:val="004E3033"/>
    <w:rsid w:val="004E4608"/>
    <w:rsid w:val="004E4A64"/>
    <w:rsid w:val="004E58F0"/>
    <w:rsid w:val="004E79CD"/>
    <w:rsid w:val="004F0826"/>
    <w:rsid w:val="004F158D"/>
    <w:rsid w:val="004F2264"/>
    <w:rsid w:val="004F6A9C"/>
    <w:rsid w:val="004F6B54"/>
    <w:rsid w:val="005001AC"/>
    <w:rsid w:val="00501D44"/>
    <w:rsid w:val="00506CE0"/>
    <w:rsid w:val="0051015B"/>
    <w:rsid w:val="00510B34"/>
    <w:rsid w:val="00513DBC"/>
    <w:rsid w:val="00515E9A"/>
    <w:rsid w:val="00516512"/>
    <w:rsid w:val="00522215"/>
    <w:rsid w:val="00523902"/>
    <w:rsid w:val="005267BA"/>
    <w:rsid w:val="00526A9D"/>
    <w:rsid w:val="005270AC"/>
    <w:rsid w:val="00527CB0"/>
    <w:rsid w:val="00531024"/>
    <w:rsid w:val="00532BED"/>
    <w:rsid w:val="005358C5"/>
    <w:rsid w:val="00535D9A"/>
    <w:rsid w:val="005361EE"/>
    <w:rsid w:val="00540588"/>
    <w:rsid w:val="00542282"/>
    <w:rsid w:val="00543784"/>
    <w:rsid w:val="00544DFB"/>
    <w:rsid w:val="00547901"/>
    <w:rsid w:val="00547C0F"/>
    <w:rsid w:val="005503C6"/>
    <w:rsid w:val="005548FA"/>
    <w:rsid w:val="005551C8"/>
    <w:rsid w:val="00560772"/>
    <w:rsid w:val="005615E2"/>
    <w:rsid w:val="00563922"/>
    <w:rsid w:val="00563A58"/>
    <w:rsid w:val="00564D0C"/>
    <w:rsid w:val="00565C51"/>
    <w:rsid w:val="00566550"/>
    <w:rsid w:val="0057127C"/>
    <w:rsid w:val="00572CEF"/>
    <w:rsid w:val="005743D9"/>
    <w:rsid w:val="00575104"/>
    <w:rsid w:val="00575B11"/>
    <w:rsid w:val="00575C15"/>
    <w:rsid w:val="00580F89"/>
    <w:rsid w:val="005812AF"/>
    <w:rsid w:val="0058326A"/>
    <w:rsid w:val="005834B7"/>
    <w:rsid w:val="00583BE1"/>
    <w:rsid w:val="00584147"/>
    <w:rsid w:val="005857A3"/>
    <w:rsid w:val="00590541"/>
    <w:rsid w:val="00591D25"/>
    <w:rsid w:val="00594616"/>
    <w:rsid w:val="0059496E"/>
    <w:rsid w:val="00595B68"/>
    <w:rsid w:val="005968FF"/>
    <w:rsid w:val="00596E0D"/>
    <w:rsid w:val="0059701C"/>
    <w:rsid w:val="00597221"/>
    <w:rsid w:val="005A112C"/>
    <w:rsid w:val="005A263D"/>
    <w:rsid w:val="005A31D1"/>
    <w:rsid w:val="005A440D"/>
    <w:rsid w:val="005A4F32"/>
    <w:rsid w:val="005A5615"/>
    <w:rsid w:val="005A6F66"/>
    <w:rsid w:val="005A7DBC"/>
    <w:rsid w:val="005B0628"/>
    <w:rsid w:val="005B0E34"/>
    <w:rsid w:val="005B2837"/>
    <w:rsid w:val="005B2C88"/>
    <w:rsid w:val="005B35B9"/>
    <w:rsid w:val="005B35D4"/>
    <w:rsid w:val="005B438F"/>
    <w:rsid w:val="005B7628"/>
    <w:rsid w:val="005B7B79"/>
    <w:rsid w:val="005C0BCF"/>
    <w:rsid w:val="005C103A"/>
    <w:rsid w:val="005C1552"/>
    <w:rsid w:val="005C239C"/>
    <w:rsid w:val="005C2F2D"/>
    <w:rsid w:val="005C472E"/>
    <w:rsid w:val="005C5D26"/>
    <w:rsid w:val="005C6FCB"/>
    <w:rsid w:val="005C720E"/>
    <w:rsid w:val="005C7666"/>
    <w:rsid w:val="005C7792"/>
    <w:rsid w:val="005C7AE0"/>
    <w:rsid w:val="005D1D9E"/>
    <w:rsid w:val="005D2D65"/>
    <w:rsid w:val="005D43FD"/>
    <w:rsid w:val="005D52E4"/>
    <w:rsid w:val="005D64B9"/>
    <w:rsid w:val="005D65E9"/>
    <w:rsid w:val="005D7EC2"/>
    <w:rsid w:val="005E030E"/>
    <w:rsid w:val="005E1D7B"/>
    <w:rsid w:val="005E201C"/>
    <w:rsid w:val="005E2A37"/>
    <w:rsid w:val="005E40BA"/>
    <w:rsid w:val="005E6793"/>
    <w:rsid w:val="005F06E6"/>
    <w:rsid w:val="005F12C4"/>
    <w:rsid w:val="005F1E63"/>
    <w:rsid w:val="005F233B"/>
    <w:rsid w:val="005F2D8D"/>
    <w:rsid w:val="005F313F"/>
    <w:rsid w:val="005F429F"/>
    <w:rsid w:val="005F5CC8"/>
    <w:rsid w:val="005F742E"/>
    <w:rsid w:val="006009F0"/>
    <w:rsid w:val="00602F2D"/>
    <w:rsid w:val="00604BDC"/>
    <w:rsid w:val="006063B9"/>
    <w:rsid w:val="006066FA"/>
    <w:rsid w:val="00606BB4"/>
    <w:rsid w:val="006078E5"/>
    <w:rsid w:val="006119B1"/>
    <w:rsid w:val="00611A76"/>
    <w:rsid w:val="006144BB"/>
    <w:rsid w:val="00614C61"/>
    <w:rsid w:val="00614D43"/>
    <w:rsid w:val="0061537C"/>
    <w:rsid w:val="006153D8"/>
    <w:rsid w:val="00615512"/>
    <w:rsid w:val="00622243"/>
    <w:rsid w:val="006222C7"/>
    <w:rsid w:val="00622A03"/>
    <w:rsid w:val="00623593"/>
    <w:rsid w:val="00625A72"/>
    <w:rsid w:val="00627C69"/>
    <w:rsid w:val="00630116"/>
    <w:rsid w:val="00630786"/>
    <w:rsid w:val="0063145F"/>
    <w:rsid w:val="00633250"/>
    <w:rsid w:val="00634627"/>
    <w:rsid w:val="006354A8"/>
    <w:rsid w:val="0063696C"/>
    <w:rsid w:val="00637490"/>
    <w:rsid w:val="00637A51"/>
    <w:rsid w:val="00637EE0"/>
    <w:rsid w:val="006443A6"/>
    <w:rsid w:val="00646717"/>
    <w:rsid w:val="0065055D"/>
    <w:rsid w:val="006514ED"/>
    <w:rsid w:val="0065266A"/>
    <w:rsid w:val="00652703"/>
    <w:rsid w:val="00654AE4"/>
    <w:rsid w:val="00656372"/>
    <w:rsid w:val="00660D00"/>
    <w:rsid w:val="006614EB"/>
    <w:rsid w:val="0066395C"/>
    <w:rsid w:val="006639DD"/>
    <w:rsid w:val="00664642"/>
    <w:rsid w:val="00664EA0"/>
    <w:rsid w:val="00666032"/>
    <w:rsid w:val="00666174"/>
    <w:rsid w:val="0066780A"/>
    <w:rsid w:val="00670C1D"/>
    <w:rsid w:val="00672DC1"/>
    <w:rsid w:val="00673BE1"/>
    <w:rsid w:val="006758E2"/>
    <w:rsid w:val="0067604A"/>
    <w:rsid w:val="006761BE"/>
    <w:rsid w:val="00676871"/>
    <w:rsid w:val="00677741"/>
    <w:rsid w:val="00680718"/>
    <w:rsid w:val="006807F9"/>
    <w:rsid w:val="0068126F"/>
    <w:rsid w:val="00684B17"/>
    <w:rsid w:val="00685CD0"/>
    <w:rsid w:val="00690F4C"/>
    <w:rsid w:val="00691A01"/>
    <w:rsid w:val="00693196"/>
    <w:rsid w:val="00693B00"/>
    <w:rsid w:val="00694D6A"/>
    <w:rsid w:val="0069610C"/>
    <w:rsid w:val="00696618"/>
    <w:rsid w:val="00696EC1"/>
    <w:rsid w:val="00697957"/>
    <w:rsid w:val="00697A62"/>
    <w:rsid w:val="006A0B14"/>
    <w:rsid w:val="006A1331"/>
    <w:rsid w:val="006A216C"/>
    <w:rsid w:val="006A3AF7"/>
    <w:rsid w:val="006A4FB8"/>
    <w:rsid w:val="006A6EAB"/>
    <w:rsid w:val="006A6F80"/>
    <w:rsid w:val="006B0164"/>
    <w:rsid w:val="006B02CC"/>
    <w:rsid w:val="006B0AB8"/>
    <w:rsid w:val="006B4B50"/>
    <w:rsid w:val="006B6BE4"/>
    <w:rsid w:val="006B6F30"/>
    <w:rsid w:val="006B7D6B"/>
    <w:rsid w:val="006C003F"/>
    <w:rsid w:val="006C499B"/>
    <w:rsid w:val="006C5C91"/>
    <w:rsid w:val="006D08F4"/>
    <w:rsid w:val="006D09D8"/>
    <w:rsid w:val="006D0C91"/>
    <w:rsid w:val="006D3D5D"/>
    <w:rsid w:val="006D4F1E"/>
    <w:rsid w:val="006D550F"/>
    <w:rsid w:val="006D6028"/>
    <w:rsid w:val="006D67A8"/>
    <w:rsid w:val="006D7364"/>
    <w:rsid w:val="006E0C47"/>
    <w:rsid w:val="006E127F"/>
    <w:rsid w:val="006E21B5"/>
    <w:rsid w:val="006E24A2"/>
    <w:rsid w:val="006E668A"/>
    <w:rsid w:val="006E7236"/>
    <w:rsid w:val="006E75A5"/>
    <w:rsid w:val="006E7F27"/>
    <w:rsid w:val="006F221F"/>
    <w:rsid w:val="006F34BE"/>
    <w:rsid w:val="006F468D"/>
    <w:rsid w:val="006F6348"/>
    <w:rsid w:val="006F7AB9"/>
    <w:rsid w:val="007033B8"/>
    <w:rsid w:val="007038E6"/>
    <w:rsid w:val="007039B9"/>
    <w:rsid w:val="00704959"/>
    <w:rsid w:val="007066EB"/>
    <w:rsid w:val="0070787B"/>
    <w:rsid w:val="007105A4"/>
    <w:rsid w:val="00710C40"/>
    <w:rsid w:val="0071247E"/>
    <w:rsid w:val="0071557C"/>
    <w:rsid w:val="00717358"/>
    <w:rsid w:val="00720B40"/>
    <w:rsid w:val="00720D65"/>
    <w:rsid w:val="00720ECE"/>
    <w:rsid w:val="00721458"/>
    <w:rsid w:val="00721EBF"/>
    <w:rsid w:val="007222E2"/>
    <w:rsid w:val="007242E4"/>
    <w:rsid w:val="00724C1B"/>
    <w:rsid w:val="007274A5"/>
    <w:rsid w:val="007276D3"/>
    <w:rsid w:val="00727734"/>
    <w:rsid w:val="00731678"/>
    <w:rsid w:val="007335D1"/>
    <w:rsid w:val="007336FD"/>
    <w:rsid w:val="00734C43"/>
    <w:rsid w:val="007379DF"/>
    <w:rsid w:val="007407D8"/>
    <w:rsid w:val="00744BC7"/>
    <w:rsid w:val="00744E85"/>
    <w:rsid w:val="00751578"/>
    <w:rsid w:val="00751938"/>
    <w:rsid w:val="00754692"/>
    <w:rsid w:val="00754D8C"/>
    <w:rsid w:val="00756AA4"/>
    <w:rsid w:val="007571EB"/>
    <w:rsid w:val="0076163C"/>
    <w:rsid w:val="0076239C"/>
    <w:rsid w:val="007628E6"/>
    <w:rsid w:val="007645CB"/>
    <w:rsid w:val="00764CC1"/>
    <w:rsid w:val="007663C2"/>
    <w:rsid w:val="007668F8"/>
    <w:rsid w:val="0076717B"/>
    <w:rsid w:val="00770271"/>
    <w:rsid w:val="00771D52"/>
    <w:rsid w:val="00773A72"/>
    <w:rsid w:val="00780608"/>
    <w:rsid w:val="00782EDB"/>
    <w:rsid w:val="00783E93"/>
    <w:rsid w:val="00791C46"/>
    <w:rsid w:val="007940F1"/>
    <w:rsid w:val="007945D1"/>
    <w:rsid w:val="0079730A"/>
    <w:rsid w:val="007A01E2"/>
    <w:rsid w:val="007A0C84"/>
    <w:rsid w:val="007A35AD"/>
    <w:rsid w:val="007A3A55"/>
    <w:rsid w:val="007A48DE"/>
    <w:rsid w:val="007A5307"/>
    <w:rsid w:val="007A7F0E"/>
    <w:rsid w:val="007B2537"/>
    <w:rsid w:val="007B34C2"/>
    <w:rsid w:val="007B46B5"/>
    <w:rsid w:val="007C16B2"/>
    <w:rsid w:val="007C3555"/>
    <w:rsid w:val="007C4A96"/>
    <w:rsid w:val="007C4AC3"/>
    <w:rsid w:val="007C6AE4"/>
    <w:rsid w:val="007D01A7"/>
    <w:rsid w:val="007D1A36"/>
    <w:rsid w:val="007D23A7"/>
    <w:rsid w:val="007D271F"/>
    <w:rsid w:val="007D59FB"/>
    <w:rsid w:val="007D6773"/>
    <w:rsid w:val="007E1FE6"/>
    <w:rsid w:val="007E27B2"/>
    <w:rsid w:val="007E2C62"/>
    <w:rsid w:val="007E4778"/>
    <w:rsid w:val="007E4D94"/>
    <w:rsid w:val="007E6EF9"/>
    <w:rsid w:val="007F1260"/>
    <w:rsid w:val="007F1592"/>
    <w:rsid w:val="007F1AB8"/>
    <w:rsid w:val="007F36B7"/>
    <w:rsid w:val="007F4C6C"/>
    <w:rsid w:val="007F6E40"/>
    <w:rsid w:val="007F7D4B"/>
    <w:rsid w:val="00800533"/>
    <w:rsid w:val="008035DA"/>
    <w:rsid w:val="008067DF"/>
    <w:rsid w:val="0080710A"/>
    <w:rsid w:val="00807C3D"/>
    <w:rsid w:val="00811929"/>
    <w:rsid w:val="00812918"/>
    <w:rsid w:val="0081389B"/>
    <w:rsid w:val="008140D7"/>
    <w:rsid w:val="00815DCE"/>
    <w:rsid w:val="0081705C"/>
    <w:rsid w:val="00817A69"/>
    <w:rsid w:val="008200EF"/>
    <w:rsid w:val="008207DB"/>
    <w:rsid w:val="008212B2"/>
    <w:rsid w:val="00821645"/>
    <w:rsid w:val="00822205"/>
    <w:rsid w:val="0082302B"/>
    <w:rsid w:val="00823597"/>
    <w:rsid w:val="00824152"/>
    <w:rsid w:val="008243F9"/>
    <w:rsid w:val="00825A95"/>
    <w:rsid w:val="0082777F"/>
    <w:rsid w:val="00827CB0"/>
    <w:rsid w:val="008302C6"/>
    <w:rsid w:val="00830EEE"/>
    <w:rsid w:val="00832B61"/>
    <w:rsid w:val="00833365"/>
    <w:rsid w:val="008341F9"/>
    <w:rsid w:val="00834E52"/>
    <w:rsid w:val="00837900"/>
    <w:rsid w:val="00840BA0"/>
    <w:rsid w:val="00842A83"/>
    <w:rsid w:val="00845B71"/>
    <w:rsid w:val="00850A9D"/>
    <w:rsid w:val="00850B45"/>
    <w:rsid w:val="00851551"/>
    <w:rsid w:val="008517A0"/>
    <w:rsid w:val="008548AA"/>
    <w:rsid w:val="008550C1"/>
    <w:rsid w:val="00860097"/>
    <w:rsid w:val="00860C3C"/>
    <w:rsid w:val="00861050"/>
    <w:rsid w:val="00863D9B"/>
    <w:rsid w:val="00864116"/>
    <w:rsid w:val="0086539F"/>
    <w:rsid w:val="008654D1"/>
    <w:rsid w:val="00866E44"/>
    <w:rsid w:val="0086751E"/>
    <w:rsid w:val="00872855"/>
    <w:rsid w:val="0087509D"/>
    <w:rsid w:val="00875B52"/>
    <w:rsid w:val="0087659B"/>
    <w:rsid w:val="008776C2"/>
    <w:rsid w:val="008816B8"/>
    <w:rsid w:val="008839EA"/>
    <w:rsid w:val="00883CDA"/>
    <w:rsid w:val="008849BE"/>
    <w:rsid w:val="00886584"/>
    <w:rsid w:val="008908A4"/>
    <w:rsid w:val="008910D5"/>
    <w:rsid w:val="0089129A"/>
    <w:rsid w:val="00891DB5"/>
    <w:rsid w:val="008923D7"/>
    <w:rsid w:val="00892530"/>
    <w:rsid w:val="008933EE"/>
    <w:rsid w:val="0089380A"/>
    <w:rsid w:val="0089448E"/>
    <w:rsid w:val="008947EE"/>
    <w:rsid w:val="00895B0D"/>
    <w:rsid w:val="008A4F90"/>
    <w:rsid w:val="008A683E"/>
    <w:rsid w:val="008B02AD"/>
    <w:rsid w:val="008B58E9"/>
    <w:rsid w:val="008B6556"/>
    <w:rsid w:val="008C0887"/>
    <w:rsid w:val="008C2C43"/>
    <w:rsid w:val="008C35AD"/>
    <w:rsid w:val="008C4A97"/>
    <w:rsid w:val="008C51E6"/>
    <w:rsid w:val="008D006E"/>
    <w:rsid w:val="008D12ED"/>
    <w:rsid w:val="008D3370"/>
    <w:rsid w:val="008D5DA6"/>
    <w:rsid w:val="008D6412"/>
    <w:rsid w:val="008D65C2"/>
    <w:rsid w:val="008D7CC3"/>
    <w:rsid w:val="008E3A07"/>
    <w:rsid w:val="008E45EB"/>
    <w:rsid w:val="008E73AE"/>
    <w:rsid w:val="008E7D2A"/>
    <w:rsid w:val="008E7D53"/>
    <w:rsid w:val="008E7DFB"/>
    <w:rsid w:val="008F01B6"/>
    <w:rsid w:val="008F176C"/>
    <w:rsid w:val="008F31E1"/>
    <w:rsid w:val="008F54BB"/>
    <w:rsid w:val="008F6F98"/>
    <w:rsid w:val="008F78A2"/>
    <w:rsid w:val="0090003A"/>
    <w:rsid w:val="0090078C"/>
    <w:rsid w:val="00900FBD"/>
    <w:rsid w:val="00901557"/>
    <w:rsid w:val="00902B12"/>
    <w:rsid w:val="0090391C"/>
    <w:rsid w:val="009040BE"/>
    <w:rsid w:val="0090621D"/>
    <w:rsid w:val="0090636A"/>
    <w:rsid w:val="009065D3"/>
    <w:rsid w:val="00907D2F"/>
    <w:rsid w:val="00910342"/>
    <w:rsid w:val="00910705"/>
    <w:rsid w:val="00910CD3"/>
    <w:rsid w:val="009154BE"/>
    <w:rsid w:val="0091587A"/>
    <w:rsid w:val="0091668F"/>
    <w:rsid w:val="00917A0A"/>
    <w:rsid w:val="00917A29"/>
    <w:rsid w:val="009207ED"/>
    <w:rsid w:val="00922C14"/>
    <w:rsid w:val="00922D25"/>
    <w:rsid w:val="00924CA6"/>
    <w:rsid w:val="00931A88"/>
    <w:rsid w:val="00935233"/>
    <w:rsid w:val="0093527C"/>
    <w:rsid w:val="009352B1"/>
    <w:rsid w:val="00936665"/>
    <w:rsid w:val="00940D70"/>
    <w:rsid w:val="00943A08"/>
    <w:rsid w:val="00944310"/>
    <w:rsid w:val="00946A88"/>
    <w:rsid w:val="009478A1"/>
    <w:rsid w:val="00950FDD"/>
    <w:rsid w:val="00951D43"/>
    <w:rsid w:val="0095270C"/>
    <w:rsid w:val="00953471"/>
    <w:rsid w:val="009558F6"/>
    <w:rsid w:val="00957357"/>
    <w:rsid w:val="009629E9"/>
    <w:rsid w:val="009638F1"/>
    <w:rsid w:val="009639C2"/>
    <w:rsid w:val="00963A4A"/>
    <w:rsid w:val="009641C1"/>
    <w:rsid w:val="00967AFD"/>
    <w:rsid w:val="0097231A"/>
    <w:rsid w:val="0097319F"/>
    <w:rsid w:val="00973287"/>
    <w:rsid w:val="009772D5"/>
    <w:rsid w:val="009845DA"/>
    <w:rsid w:val="00985F31"/>
    <w:rsid w:val="00986391"/>
    <w:rsid w:val="0098666E"/>
    <w:rsid w:val="00987CE0"/>
    <w:rsid w:val="009907FB"/>
    <w:rsid w:val="0099287F"/>
    <w:rsid w:val="009A27E9"/>
    <w:rsid w:val="009A449B"/>
    <w:rsid w:val="009A5380"/>
    <w:rsid w:val="009A584C"/>
    <w:rsid w:val="009A6E30"/>
    <w:rsid w:val="009A73C2"/>
    <w:rsid w:val="009B09E2"/>
    <w:rsid w:val="009B23C6"/>
    <w:rsid w:val="009B2C23"/>
    <w:rsid w:val="009B517B"/>
    <w:rsid w:val="009B53C3"/>
    <w:rsid w:val="009B6586"/>
    <w:rsid w:val="009C49EE"/>
    <w:rsid w:val="009C4A96"/>
    <w:rsid w:val="009C4F56"/>
    <w:rsid w:val="009C5E19"/>
    <w:rsid w:val="009C7A93"/>
    <w:rsid w:val="009D2CE2"/>
    <w:rsid w:val="009D41B6"/>
    <w:rsid w:val="009D722F"/>
    <w:rsid w:val="009D7837"/>
    <w:rsid w:val="009E3558"/>
    <w:rsid w:val="009E4165"/>
    <w:rsid w:val="009E66D1"/>
    <w:rsid w:val="009E66E9"/>
    <w:rsid w:val="009E7CE0"/>
    <w:rsid w:val="009F000E"/>
    <w:rsid w:val="009F0F59"/>
    <w:rsid w:val="009F4BC1"/>
    <w:rsid w:val="009F54D4"/>
    <w:rsid w:val="00A001CE"/>
    <w:rsid w:val="00A00395"/>
    <w:rsid w:val="00A00EED"/>
    <w:rsid w:val="00A01E39"/>
    <w:rsid w:val="00A027C4"/>
    <w:rsid w:val="00A04D45"/>
    <w:rsid w:val="00A13532"/>
    <w:rsid w:val="00A14231"/>
    <w:rsid w:val="00A14868"/>
    <w:rsid w:val="00A1588B"/>
    <w:rsid w:val="00A16BDD"/>
    <w:rsid w:val="00A17160"/>
    <w:rsid w:val="00A2083D"/>
    <w:rsid w:val="00A20B37"/>
    <w:rsid w:val="00A20D79"/>
    <w:rsid w:val="00A215B2"/>
    <w:rsid w:val="00A2194F"/>
    <w:rsid w:val="00A21AB2"/>
    <w:rsid w:val="00A248BF"/>
    <w:rsid w:val="00A24D8F"/>
    <w:rsid w:val="00A26681"/>
    <w:rsid w:val="00A26D90"/>
    <w:rsid w:val="00A305C9"/>
    <w:rsid w:val="00A316BF"/>
    <w:rsid w:val="00A31C6C"/>
    <w:rsid w:val="00A3224E"/>
    <w:rsid w:val="00A3230B"/>
    <w:rsid w:val="00A3274B"/>
    <w:rsid w:val="00A32AE5"/>
    <w:rsid w:val="00A34F1A"/>
    <w:rsid w:val="00A367B1"/>
    <w:rsid w:val="00A373D5"/>
    <w:rsid w:val="00A4056E"/>
    <w:rsid w:val="00A41A53"/>
    <w:rsid w:val="00A45130"/>
    <w:rsid w:val="00A45131"/>
    <w:rsid w:val="00A45535"/>
    <w:rsid w:val="00A45BE0"/>
    <w:rsid w:val="00A46663"/>
    <w:rsid w:val="00A468DC"/>
    <w:rsid w:val="00A53564"/>
    <w:rsid w:val="00A537E9"/>
    <w:rsid w:val="00A53CDD"/>
    <w:rsid w:val="00A53F6A"/>
    <w:rsid w:val="00A542B2"/>
    <w:rsid w:val="00A54507"/>
    <w:rsid w:val="00A5708A"/>
    <w:rsid w:val="00A6232C"/>
    <w:rsid w:val="00A64383"/>
    <w:rsid w:val="00A6464A"/>
    <w:rsid w:val="00A6465C"/>
    <w:rsid w:val="00A64929"/>
    <w:rsid w:val="00A65DBC"/>
    <w:rsid w:val="00A66987"/>
    <w:rsid w:val="00A67D4C"/>
    <w:rsid w:val="00A71304"/>
    <w:rsid w:val="00A71668"/>
    <w:rsid w:val="00A75F85"/>
    <w:rsid w:val="00A76080"/>
    <w:rsid w:val="00A84F6C"/>
    <w:rsid w:val="00A855FC"/>
    <w:rsid w:val="00A90DC3"/>
    <w:rsid w:val="00A911B2"/>
    <w:rsid w:val="00A95312"/>
    <w:rsid w:val="00A972B3"/>
    <w:rsid w:val="00AA08C5"/>
    <w:rsid w:val="00AA4B2F"/>
    <w:rsid w:val="00AA4EB0"/>
    <w:rsid w:val="00AA5E5C"/>
    <w:rsid w:val="00AA5F7E"/>
    <w:rsid w:val="00AA7B3A"/>
    <w:rsid w:val="00AB279B"/>
    <w:rsid w:val="00AB4048"/>
    <w:rsid w:val="00AB5C24"/>
    <w:rsid w:val="00AB6FEF"/>
    <w:rsid w:val="00AB76A3"/>
    <w:rsid w:val="00AC1770"/>
    <w:rsid w:val="00AC2C80"/>
    <w:rsid w:val="00AC35E6"/>
    <w:rsid w:val="00AC490A"/>
    <w:rsid w:val="00AC5419"/>
    <w:rsid w:val="00AC7116"/>
    <w:rsid w:val="00AD2AF8"/>
    <w:rsid w:val="00AD494F"/>
    <w:rsid w:val="00AE026B"/>
    <w:rsid w:val="00AE300C"/>
    <w:rsid w:val="00AE321C"/>
    <w:rsid w:val="00AE43F1"/>
    <w:rsid w:val="00AE6007"/>
    <w:rsid w:val="00AF07A5"/>
    <w:rsid w:val="00AF1CE7"/>
    <w:rsid w:val="00AF2BB0"/>
    <w:rsid w:val="00AF5A11"/>
    <w:rsid w:val="00AF6097"/>
    <w:rsid w:val="00AF690B"/>
    <w:rsid w:val="00AF768A"/>
    <w:rsid w:val="00AF7CF7"/>
    <w:rsid w:val="00B01109"/>
    <w:rsid w:val="00B01865"/>
    <w:rsid w:val="00B0244C"/>
    <w:rsid w:val="00B02EF0"/>
    <w:rsid w:val="00B11AF7"/>
    <w:rsid w:val="00B12B04"/>
    <w:rsid w:val="00B148EE"/>
    <w:rsid w:val="00B14CAE"/>
    <w:rsid w:val="00B14D87"/>
    <w:rsid w:val="00B16511"/>
    <w:rsid w:val="00B1672C"/>
    <w:rsid w:val="00B173C2"/>
    <w:rsid w:val="00B20129"/>
    <w:rsid w:val="00B206A6"/>
    <w:rsid w:val="00B20BB0"/>
    <w:rsid w:val="00B21E90"/>
    <w:rsid w:val="00B22C29"/>
    <w:rsid w:val="00B24FB6"/>
    <w:rsid w:val="00B2657C"/>
    <w:rsid w:val="00B26920"/>
    <w:rsid w:val="00B27041"/>
    <w:rsid w:val="00B32232"/>
    <w:rsid w:val="00B32DDA"/>
    <w:rsid w:val="00B3350A"/>
    <w:rsid w:val="00B34FAF"/>
    <w:rsid w:val="00B35DBF"/>
    <w:rsid w:val="00B36A1F"/>
    <w:rsid w:val="00B4260D"/>
    <w:rsid w:val="00B43179"/>
    <w:rsid w:val="00B43CB4"/>
    <w:rsid w:val="00B447CA"/>
    <w:rsid w:val="00B46116"/>
    <w:rsid w:val="00B53302"/>
    <w:rsid w:val="00B53D4E"/>
    <w:rsid w:val="00B54DB4"/>
    <w:rsid w:val="00B553CE"/>
    <w:rsid w:val="00B559F8"/>
    <w:rsid w:val="00B572DE"/>
    <w:rsid w:val="00B60EEC"/>
    <w:rsid w:val="00B62050"/>
    <w:rsid w:val="00B63AC7"/>
    <w:rsid w:val="00B642F9"/>
    <w:rsid w:val="00B64C8E"/>
    <w:rsid w:val="00B65800"/>
    <w:rsid w:val="00B65B5B"/>
    <w:rsid w:val="00B678FF"/>
    <w:rsid w:val="00B67A91"/>
    <w:rsid w:val="00B67B2D"/>
    <w:rsid w:val="00B70593"/>
    <w:rsid w:val="00B721D1"/>
    <w:rsid w:val="00B75BF5"/>
    <w:rsid w:val="00B77605"/>
    <w:rsid w:val="00B777F1"/>
    <w:rsid w:val="00B80736"/>
    <w:rsid w:val="00B80D36"/>
    <w:rsid w:val="00B81963"/>
    <w:rsid w:val="00B8493F"/>
    <w:rsid w:val="00B85446"/>
    <w:rsid w:val="00B85B18"/>
    <w:rsid w:val="00B921FD"/>
    <w:rsid w:val="00B93335"/>
    <w:rsid w:val="00B942BA"/>
    <w:rsid w:val="00B94C8D"/>
    <w:rsid w:val="00B96092"/>
    <w:rsid w:val="00B960B7"/>
    <w:rsid w:val="00B96937"/>
    <w:rsid w:val="00B97D3B"/>
    <w:rsid w:val="00BA0041"/>
    <w:rsid w:val="00BA0ED6"/>
    <w:rsid w:val="00BA2109"/>
    <w:rsid w:val="00BA42C0"/>
    <w:rsid w:val="00BA48DA"/>
    <w:rsid w:val="00BA4D0A"/>
    <w:rsid w:val="00BA5382"/>
    <w:rsid w:val="00BA6A2C"/>
    <w:rsid w:val="00BB0043"/>
    <w:rsid w:val="00BB1C63"/>
    <w:rsid w:val="00BB1E6F"/>
    <w:rsid w:val="00BB2033"/>
    <w:rsid w:val="00BB4504"/>
    <w:rsid w:val="00BB5553"/>
    <w:rsid w:val="00BB608E"/>
    <w:rsid w:val="00BB60EA"/>
    <w:rsid w:val="00BB62E0"/>
    <w:rsid w:val="00BB7BC2"/>
    <w:rsid w:val="00BB7E0F"/>
    <w:rsid w:val="00BC2135"/>
    <w:rsid w:val="00BC2608"/>
    <w:rsid w:val="00BC2B00"/>
    <w:rsid w:val="00BC3B5C"/>
    <w:rsid w:val="00BC47C6"/>
    <w:rsid w:val="00BC4E50"/>
    <w:rsid w:val="00BC5E0D"/>
    <w:rsid w:val="00BC6CFA"/>
    <w:rsid w:val="00BD07FE"/>
    <w:rsid w:val="00BD0CA4"/>
    <w:rsid w:val="00BD451E"/>
    <w:rsid w:val="00BD4E4F"/>
    <w:rsid w:val="00BD54C9"/>
    <w:rsid w:val="00BD5C2C"/>
    <w:rsid w:val="00BD635B"/>
    <w:rsid w:val="00BE08F1"/>
    <w:rsid w:val="00BE397A"/>
    <w:rsid w:val="00BE75CC"/>
    <w:rsid w:val="00BF0E5E"/>
    <w:rsid w:val="00BF2B4C"/>
    <w:rsid w:val="00BF2D89"/>
    <w:rsid w:val="00BF335F"/>
    <w:rsid w:val="00BF35F0"/>
    <w:rsid w:val="00BF3705"/>
    <w:rsid w:val="00BF388E"/>
    <w:rsid w:val="00BF49CC"/>
    <w:rsid w:val="00BF4F61"/>
    <w:rsid w:val="00BF6331"/>
    <w:rsid w:val="00BF75FB"/>
    <w:rsid w:val="00C00DB9"/>
    <w:rsid w:val="00C01F19"/>
    <w:rsid w:val="00C04490"/>
    <w:rsid w:val="00C06B70"/>
    <w:rsid w:val="00C10154"/>
    <w:rsid w:val="00C10A97"/>
    <w:rsid w:val="00C12996"/>
    <w:rsid w:val="00C13FDE"/>
    <w:rsid w:val="00C15D51"/>
    <w:rsid w:val="00C170C7"/>
    <w:rsid w:val="00C17550"/>
    <w:rsid w:val="00C203A4"/>
    <w:rsid w:val="00C20A50"/>
    <w:rsid w:val="00C21441"/>
    <w:rsid w:val="00C21814"/>
    <w:rsid w:val="00C22242"/>
    <w:rsid w:val="00C22B84"/>
    <w:rsid w:val="00C23EFE"/>
    <w:rsid w:val="00C241B7"/>
    <w:rsid w:val="00C24C2D"/>
    <w:rsid w:val="00C25C5C"/>
    <w:rsid w:val="00C26446"/>
    <w:rsid w:val="00C26B3A"/>
    <w:rsid w:val="00C26FE3"/>
    <w:rsid w:val="00C31409"/>
    <w:rsid w:val="00C36B4F"/>
    <w:rsid w:val="00C37361"/>
    <w:rsid w:val="00C37547"/>
    <w:rsid w:val="00C37CF3"/>
    <w:rsid w:val="00C4014C"/>
    <w:rsid w:val="00C40C28"/>
    <w:rsid w:val="00C42E1B"/>
    <w:rsid w:val="00C458B4"/>
    <w:rsid w:val="00C47E9D"/>
    <w:rsid w:val="00C50B80"/>
    <w:rsid w:val="00C50D7A"/>
    <w:rsid w:val="00C51BAF"/>
    <w:rsid w:val="00C51DB4"/>
    <w:rsid w:val="00C52E43"/>
    <w:rsid w:val="00C52F04"/>
    <w:rsid w:val="00C54EEF"/>
    <w:rsid w:val="00C5519A"/>
    <w:rsid w:val="00C5526D"/>
    <w:rsid w:val="00C55E20"/>
    <w:rsid w:val="00C57585"/>
    <w:rsid w:val="00C619F7"/>
    <w:rsid w:val="00C624D6"/>
    <w:rsid w:val="00C65B50"/>
    <w:rsid w:val="00C66244"/>
    <w:rsid w:val="00C663BC"/>
    <w:rsid w:val="00C66F43"/>
    <w:rsid w:val="00C6709E"/>
    <w:rsid w:val="00C72084"/>
    <w:rsid w:val="00C73385"/>
    <w:rsid w:val="00C73824"/>
    <w:rsid w:val="00C74747"/>
    <w:rsid w:val="00C74E1B"/>
    <w:rsid w:val="00C77BD0"/>
    <w:rsid w:val="00C80DB9"/>
    <w:rsid w:val="00C81A0C"/>
    <w:rsid w:val="00C826A2"/>
    <w:rsid w:val="00C8402F"/>
    <w:rsid w:val="00C85C68"/>
    <w:rsid w:val="00C867E8"/>
    <w:rsid w:val="00C91898"/>
    <w:rsid w:val="00C91941"/>
    <w:rsid w:val="00C94C8F"/>
    <w:rsid w:val="00C96496"/>
    <w:rsid w:val="00C96A73"/>
    <w:rsid w:val="00C97A56"/>
    <w:rsid w:val="00C97B22"/>
    <w:rsid w:val="00CA1419"/>
    <w:rsid w:val="00CA3738"/>
    <w:rsid w:val="00CA381A"/>
    <w:rsid w:val="00CA57D0"/>
    <w:rsid w:val="00CA61F7"/>
    <w:rsid w:val="00CB2A8E"/>
    <w:rsid w:val="00CB2DDA"/>
    <w:rsid w:val="00CB4B84"/>
    <w:rsid w:val="00CB5327"/>
    <w:rsid w:val="00CB55F4"/>
    <w:rsid w:val="00CB5929"/>
    <w:rsid w:val="00CC0D73"/>
    <w:rsid w:val="00CC21FD"/>
    <w:rsid w:val="00CC2E1B"/>
    <w:rsid w:val="00CC5AFB"/>
    <w:rsid w:val="00CC6039"/>
    <w:rsid w:val="00CC6CF8"/>
    <w:rsid w:val="00CC7F82"/>
    <w:rsid w:val="00CD116A"/>
    <w:rsid w:val="00CD124D"/>
    <w:rsid w:val="00CD3C48"/>
    <w:rsid w:val="00CD6593"/>
    <w:rsid w:val="00CE03B4"/>
    <w:rsid w:val="00CE3644"/>
    <w:rsid w:val="00CE7CA5"/>
    <w:rsid w:val="00CF068A"/>
    <w:rsid w:val="00CF1DC4"/>
    <w:rsid w:val="00CF2495"/>
    <w:rsid w:val="00CF5F60"/>
    <w:rsid w:val="00CF76D1"/>
    <w:rsid w:val="00D01D9C"/>
    <w:rsid w:val="00D03B38"/>
    <w:rsid w:val="00D059EE"/>
    <w:rsid w:val="00D05A41"/>
    <w:rsid w:val="00D07414"/>
    <w:rsid w:val="00D1017E"/>
    <w:rsid w:val="00D107A9"/>
    <w:rsid w:val="00D109F5"/>
    <w:rsid w:val="00D10BA9"/>
    <w:rsid w:val="00D110D6"/>
    <w:rsid w:val="00D11217"/>
    <w:rsid w:val="00D1165A"/>
    <w:rsid w:val="00D11764"/>
    <w:rsid w:val="00D15790"/>
    <w:rsid w:val="00D17080"/>
    <w:rsid w:val="00D176B8"/>
    <w:rsid w:val="00D17762"/>
    <w:rsid w:val="00D20205"/>
    <w:rsid w:val="00D20215"/>
    <w:rsid w:val="00D20853"/>
    <w:rsid w:val="00D21223"/>
    <w:rsid w:val="00D23569"/>
    <w:rsid w:val="00D23EA1"/>
    <w:rsid w:val="00D24655"/>
    <w:rsid w:val="00D24B5C"/>
    <w:rsid w:val="00D253C3"/>
    <w:rsid w:val="00D26A58"/>
    <w:rsid w:val="00D3080F"/>
    <w:rsid w:val="00D31116"/>
    <w:rsid w:val="00D35594"/>
    <w:rsid w:val="00D35E45"/>
    <w:rsid w:val="00D36EA6"/>
    <w:rsid w:val="00D422EB"/>
    <w:rsid w:val="00D44577"/>
    <w:rsid w:val="00D44592"/>
    <w:rsid w:val="00D45896"/>
    <w:rsid w:val="00D46D31"/>
    <w:rsid w:val="00D4784A"/>
    <w:rsid w:val="00D51645"/>
    <w:rsid w:val="00D52054"/>
    <w:rsid w:val="00D5480E"/>
    <w:rsid w:val="00D56371"/>
    <w:rsid w:val="00D56636"/>
    <w:rsid w:val="00D569B6"/>
    <w:rsid w:val="00D60892"/>
    <w:rsid w:val="00D63E72"/>
    <w:rsid w:val="00D672DE"/>
    <w:rsid w:val="00D67B6C"/>
    <w:rsid w:val="00D719C7"/>
    <w:rsid w:val="00D74601"/>
    <w:rsid w:val="00D82FA1"/>
    <w:rsid w:val="00D840DF"/>
    <w:rsid w:val="00D8616F"/>
    <w:rsid w:val="00D86DD9"/>
    <w:rsid w:val="00D87C13"/>
    <w:rsid w:val="00D90734"/>
    <w:rsid w:val="00D91C0A"/>
    <w:rsid w:val="00D92116"/>
    <w:rsid w:val="00D953A6"/>
    <w:rsid w:val="00D955F4"/>
    <w:rsid w:val="00DA154E"/>
    <w:rsid w:val="00DA156A"/>
    <w:rsid w:val="00DA25C5"/>
    <w:rsid w:val="00DA298E"/>
    <w:rsid w:val="00DA3418"/>
    <w:rsid w:val="00DA37CB"/>
    <w:rsid w:val="00DA4F61"/>
    <w:rsid w:val="00DB074C"/>
    <w:rsid w:val="00DB121F"/>
    <w:rsid w:val="00DB1222"/>
    <w:rsid w:val="00DB2560"/>
    <w:rsid w:val="00DB4B1C"/>
    <w:rsid w:val="00DB4E01"/>
    <w:rsid w:val="00DB5996"/>
    <w:rsid w:val="00DB7B8A"/>
    <w:rsid w:val="00DC166A"/>
    <w:rsid w:val="00DC3213"/>
    <w:rsid w:val="00DD0A4A"/>
    <w:rsid w:val="00DD2517"/>
    <w:rsid w:val="00DD3400"/>
    <w:rsid w:val="00DD3511"/>
    <w:rsid w:val="00DD35EC"/>
    <w:rsid w:val="00DD4249"/>
    <w:rsid w:val="00DD5BA2"/>
    <w:rsid w:val="00DE0B1A"/>
    <w:rsid w:val="00DE1B65"/>
    <w:rsid w:val="00DE2695"/>
    <w:rsid w:val="00DE36FF"/>
    <w:rsid w:val="00DF25AF"/>
    <w:rsid w:val="00DF2A39"/>
    <w:rsid w:val="00DF3732"/>
    <w:rsid w:val="00DF4C0F"/>
    <w:rsid w:val="00DF4D74"/>
    <w:rsid w:val="00DF50D3"/>
    <w:rsid w:val="00DF569A"/>
    <w:rsid w:val="00DF6E95"/>
    <w:rsid w:val="00E02A87"/>
    <w:rsid w:val="00E04518"/>
    <w:rsid w:val="00E04DC9"/>
    <w:rsid w:val="00E05061"/>
    <w:rsid w:val="00E064AC"/>
    <w:rsid w:val="00E10998"/>
    <w:rsid w:val="00E11560"/>
    <w:rsid w:val="00E11D4A"/>
    <w:rsid w:val="00E12815"/>
    <w:rsid w:val="00E1398E"/>
    <w:rsid w:val="00E16EA0"/>
    <w:rsid w:val="00E230B7"/>
    <w:rsid w:val="00E23C04"/>
    <w:rsid w:val="00E25ABE"/>
    <w:rsid w:val="00E30CBD"/>
    <w:rsid w:val="00E30D0C"/>
    <w:rsid w:val="00E41BD8"/>
    <w:rsid w:val="00E41DF1"/>
    <w:rsid w:val="00E43243"/>
    <w:rsid w:val="00E4481A"/>
    <w:rsid w:val="00E44925"/>
    <w:rsid w:val="00E44F75"/>
    <w:rsid w:val="00E451B5"/>
    <w:rsid w:val="00E505B2"/>
    <w:rsid w:val="00E50CA1"/>
    <w:rsid w:val="00E52DD6"/>
    <w:rsid w:val="00E549CE"/>
    <w:rsid w:val="00E557E7"/>
    <w:rsid w:val="00E56847"/>
    <w:rsid w:val="00E57F2E"/>
    <w:rsid w:val="00E57F7B"/>
    <w:rsid w:val="00E61448"/>
    <w:rsid w:val="00E6183B"/>
    <w:rsid w:val="00E627CE"/>
    <w:rsid w:val="00E62EEE"/>
    <w:rsid w:val="00E640E2"/>
    <w:rsid w:val="00E64F2A"/>
    <w:rsid w:val="00E6515A"/>
    <w:rsid w:val="00E6656B"/>
    <w:rsid w:val="00E6761B"/>
    <w:rsid w:val="00E70888"/>
    <w:rsid w:val="00E7111E"/>
    <w:rsid w:val="00E712A8"/>
    <w:rsid w:val="00E72B0B"/>
    <w:rsid w:val="00E74140"/>
    <w:rsid w:val="00E74A37"/>
    <w:rsid w:val="00E75EA7"/>
    <w:rsid w:val="00E7683B"/>
    <w:rsid w:val="00E82A18"/>
    <w:rsid w:val="00E8328B"/>
    <w:rsid w:val="00E86FA5"/>
    <w:rsid w:val="00E87AB0"/>
    <w:rsid w:val="00E92693"/>
    <w:rsid w:val="00E92956"/>
    <w:rsid w:val="00E96E7E"/>
    <w:rsid w:val="00E9717D"/>
    <w:rsid w:val="00E9734D"/>
    <w:rsid w:val="00EA198E"/>
    <w:rsid w:val="00EA2E4A"/>
    <w:rsid w:val="00EA4808"/>
    <w:rsid w:val="00EA48AE"/>
    <w:rsid w:val="00EA518B"/>
    <w:rsid w:val="00EA5A5B"/>
    <w:rsid w:val="00EA6A46"/>
    <w:rsid w:val="00EA71FB"/>
    <w:rsid w:val="00EB0C80"/>
    <w:rsid w:val="00EB1ED9"/>
    <w:rsid w:val="00EB38D9"/>
    <w:rsid w:val="00EB396E"/>
    <w:rsid w:val="00EB6C51"/>
    <w:rsid w:val="00EC10A5"/>
    <w:rsid w:val="00EC15A7"/>
    <w:rsid w:val="00EC2404"/>
    <w:rsid w:val="00EC4CDF"/>
    <w:rsid w:val="00EC6383"/>
    <w:rsid w:val="00EC794F"/>
    <w:rsid w:val="00EC7F9D"/>
    <w:rsid w:val="00ED17EC"/>
    <w:rsid w:val="00ED5C07"/>
    <w:rsid w:val="00ED5D77"/>
    <w:rsid w:val="00ED61B4"/>
    <w:rsid w:val="00ED776C"/>
    <w:rsid w:val="00EE0597"/>
    <w:rsid w:val="00EE0882"/>
    <w:rsid w:val="00EE09A7"/>
    <w:rsid w:val="00EE20B2"/>
    <w:rsid w:val="00EE6533"/>
    <w:rsid w:val="00EE6D05"/>
    <w:rsid w:val="00EF3081"/>
    <w:rsid w:val="00EF48D5"/>
    <w:rsid w:val="00EF6716"/>
    <w:rsid w:val="00EF77C1"/>
    <w:rsid w:val="00F01F67"/>
    <w:rsid w:val="00F046AE"/>
    <w:rsid w:val="00F06A40"/>
    <w:rsid w:val="00F07814"/>
    <w:rsid w:val="00F079F8"/>
    <w:rsid w:val="00F101F0"/>
    <w:rsid w:val="00F10FF1"/>
    <w:rsid w:val="00F1297F"/>
    <w:rsid w:val="00F12CC7"/>
    <w:rsid w:val="00F12D2C"/>
    <w:rsid w:val="00F14571"/>
    <w:rsid w:val="00F149C9"/>
    <w:rsid w:val="00F20526"/>
    <w:rsid w:val="00F2142A"/>
    <w:rsid w:val="00F2146E"/>
    <w:rsid w:val="00F21743"/>
    <w:rsid w:val="00F22081"/>
    <w:rsid w:val="00F22A93"/>
    <w:rsid w:val="00F22F59"/>
    <w:rsid w:val="00F24B87"/>
    <w:rsid w:val="00F273FE"/>
    <w:rsid w:val="00F276E8"/>
    <w:rsid w:val="00F32257"/>
    <w:rsid w:val="00F323F2"/>
    <w:rsid w:val="00F33472"/>
    <w:rsid w:val="00F409FD"/>
    <w:rsid w:val="00F4326F"/>
    <w:rsid w:val="00F444B0"/>
    <w:rsid w:val="00F447C4"/>
    <w:rsid w:val="00F4520F"/>
    <w:rsid w:val="00F456CB"/>
    <w:rsid w:val="00F51B23"/>
    <w:rsid w:val="00F54250"/>
    <w:rsid w:val="00F56246"/>
    <w:rsid w:val="00F56296"/>
    <w:rsid w:val="00F608FC"/>
    <w:rsid w:val="00F626DB"/>
    <w:rsid w:val="00F62E4E"/>
    <w:rsid w:val="00F72829"/>
    <w:rsid w:val="00F767DF"/>
    <w:rsid w:val="00F76F9A"/>
    <w:rsid w:val="00F7792A"/>
    <w:rsid w:val="00F803BE"/>
    <w:rsid w:val="00F82368"/>
    <w:rsid w:val="00F835AE"/>
    <w:rsid w:val="00F84A47"/>
    <w:rsid w:val="00F84AAF"/>
    <w:rsid w:val="00F86327"/>
    <w:rsid w:val="00F8632D"/>
    <w:rsid w:val="00F867E9"/>
    <w:rsid w:val="00F87FE3"/>
    <w:rsid w:val="00F9075E"/>
    <w:rsid w:val="00F912DE"/>
    <w:rsid w:val="00F92606"/>
    <w:rsid w:val="00F94249"/>
    <w:rsid w:val="00F95179"/>
    <w:rsid w:val="00F959AE"/>
    <w:rsid w:val="00FA0760"/>
    <w:rsid w:val="00FA12FE"/>
    <w:rsid w:val="00FA194B"/>
    <w:rsid w:val="00FA1BD6"/>
    <w:rsid w:val="00FA2455"/>
    <w:rsid w:val="00FA2541"/>
    <w:rsid w:val="00FA652F"/>
    <w:rsid w:val="00FB08CC"/>
    <w:rsid w:val="00FB2A22"/>
    <w:rsid w:val="00FB65DD"/>
    <w:rsid w:val="00FB6D61"/>
    <w:rsid w:val="00FC3C6B"/>
    <w:rsid w:val="00FC44F0"/>
    <w:rsid w:val="00FC5837"/>
    <w:rsid w:val="00FC7FAC"/>
    <w:rsid w:val="00FD00AE"/>
    <w:rsid w:val="00FD4A23"/>
    <w:rsid w:val="00FD513B"/>
    <w:rsid w:val="00FD6620"/>
    <w:rsid w:val="00FD7517"/>
    <w:rsid w:val="00FD799E"/>
    <w:rsid w:val="00FE07D6"/>
    <w:rsid w:val="00FE0A0E"/>
    <w:rsid w:val="00FE0DB4"/>
    <w:rsid w:val="00FE25EE"/>
    <w:rsid w:val="00FE32A5"/>
    <w:rsid w:val="00FE39B6"/>
    <w:rsid w:val="00FE546F"/>
    <w:rsid w:val="00FE6774"/>
    <w:rsid w:val="00FE744F"/>
    <w:rsid w:val="00FF149C"/>
    <w:rsid w:val="00FF1B88"/>
    <w:rsid w:val="00FF31A2"/>
    <w:rsid w:val="00FF3222"/>
    <w:rsid w:val="00FF3F5A"/>
    <w:rsid w:val="00FF4686"/>
    <w:rsid w:val="00FF5EEB"/>
    <w:rsid w:val="05727A28"/>
    <w:rsid w:val="09A9584A"/>
    <w:rsid w:val="0A09411B"/>
    <w:rsid w:val="0A160DE3"/>
    <w:rsid w:val="0CC510F1"/>
    <w:rsid w:val="0CD72CBE"/>
    <w:rsid w:val="0DE71322"/>
    <w:rsid w:val="1276575C"/>
    <w:rsid w:val="13304E7B"/>
    <w:rsid w:val="151F334F"/>
    <w:rsid w:val="154D2C71"/>
    <w:rsid w:val="158C54F2"/>
    <w:rsid w:val="162A2F12"/>
    <w:rsid w:val="17E3087C"/>
    <w:rsid w:val="19D30EB4"/>
    <w:rsid w:val="1FBD1637"/>
    <w:rsid w:val="205D7699"/>
    <w:rsid w:val="210C44CD"/>
    <w:rsid w:val="21F57739"/>
    <w:rsid w:val="237C5D16"/>
    <w:rsid w:val="24A36BBB"/>
    <w:rsid w:val="276C6A67"/>
    <w:rsid w:val="2E69179C"/>
    <w:rsid w:val="2F52298C"/>
    <w:rsid w:val="30EA4506"/>
    <w:rsid w:val="31902CA1"/>
    <w:rsid w:val="31A77ADC"/>
    <w:rsid w:val="31B507AE"/>
    <w:rsid w:val="33F94271"/>
    <w:rsid w:val="34162F33"/>
    <w:rsid w:val="360E22C2"/>
    <w:rsid w:val="3746549A"/>
    <w:rsid w:val="376B7B19"/>
    <w:rsid w:val="38AA58D8"/>
    <w:rsid w:val="3ECA152D"/>
    <w:rsid w:val="3FA322CC"/>
    <w:rsid w:val="404D1440"/>
    <w:rsid w:val="42A2391E"/>
    <w:rsid w:val="435D4F60"/>
    <w:rsid w:val="47F919B6"/>
    <w:rsid w:val="48E5751D"/>
    <w:rsid w:val="4FBC3E89"/>
    <w:rsid w:val="50755D1D"/>
    <w:rsid w:val="51D02565"/>
    <w:rsid w:val="521D7A07"/>
    <w:rsid w:val="52B95DBC"/>
    <w:rsid w:val="535D6E1B"/>
    <w:rsid w:val="592832AE"/>
    <w:rsid w:val="59471111"/>
    <w:rsid w:val="5C0C2CDB"/>
    <w:rsid w:val="5C9F593D"/>
    <w:rsid w:val="5F1840E1"/>
    <w:rsid w:val="5FCB2829"/>
    <w:rsid w:val="5FFB19C1"/>
    <w:rsid w:val="69A44484"/>
    <w:rsid w:val="6D463E7B"/>
    <w:rsid w:val="6FB52E85"/>
    <w:rsid w:val="7466014C"/>
    <w:rsid w:val="761B337B"/>
    <w:rsid w:val="77027E9E"/>
    <w:rsid w:val="796B189B"/>
    <w:rsid w:val="79CD0083"/>
    <w:rsid w:val="7B7A6103"/>
    <w:rsid w:val="7D3B1736"/>
    <w:rsid w:val="7D876EAE"/>
    <w:rsid w:val="7E5535D9"/>
    <w:rsid w:val="7EA06935"/>
    <w:rsid w:val="7ED10A7C"/>
    <w:rsid w:val="7ED6737C"/>
    <w:rsid w:val="7F80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DBE5502-03D8-4036-9E2D-7013C828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iPriority="99" w:unhideWhenUsed="1"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qFormat="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a">
    <w:name w:val="Normal"/>
    <w:qFormat/>
    <w:pPr>
      <w:widowControl w:val="0"/>
      <w:spacing w:line="360" w:lineRule="auto"/>
      <w:ind w:firstLineChars="200" w:firstLine="200"/>
      <w:jc w:val="both"/>
    </w:pPr>
    <w:rPr>
      <w:kern w:val="2"/>
      <w:sz w:val="24"/>
      <w:szCs w:val="22"/>
    </w:rPr>
  </w:style>
  <w:style w:type="paragraph" w:styleId="1">
    <w:name w:val="heading 1"/>
    <w:basedOn w:val="aa"/>
    <w:next w:val="ab"/>
    <w:link w:val="10"/>
    <w:qFormat/>
    <w:pPr>
      <w:keepLines/>
      <w:tabs>
        <w:tab w:val="left" w:pos="425"/>
      </w:tabs>
      <w:spacing w:before="60"/>
      <w:ind w:firstLineChars="0" w:firstLine="0"/>
      <w:outlineLvl w:val="0"/>
    </w:pPr>
    <w:rPr>
      <w:rFonts w:eastAsia="黑体"/>
      <w:b/>
      <w:bCs/>
      <w:kern w:val="44"/>
      <w:sz w:val="28"/>
      <w:szCs w:val="44"/>
    </w:rPr>
  </w:style>
  <w:style w:type="paragraph" w:styleId="2">
    <w:name w:val="heading 2"/>
    <w:basedOn w:val="aa"/>
    <w:next w:val="aa"/>
    <w:qFormat/>
    <w:pPr>
      <w:keepLines/>
      <w:numPr>
        <w:numId w:val="1"/>
      </w:numPr>
      <w:tabs>
        <w:tab w:val="left" w:pos="425"/>
        <w:tab w:val="left" w:pos="927"/>
      </w:tabs>
      <w:spacing w:before="60"/>
      <w:ind w:firstLineChars="0" w:firstLine="0"/>
      <w:jc w:val="left"/>
      <w:outlineLvl w:val="1"/>
    </w:pPr>
    <w:rPr>
      <w:rFonts w:eastAsia="黑体"/>
      <w:b/>
      <w:bCs/>
      <w:sz w:val="28"/>
      <w:szCs w:val="32"/>
    </w:rPr>
  </w:style>
  <w:style w:type="paragraph" w:styleId="3">
    <w:name w:val="heading 3"/>
    <w:basedOn w:val="aa"/>
    <w:next w:val="aa"/>
    <w:link w:val="30"/>
    <w:semiHidden/>
    <w:unhideWhenUsed/>
    <w:qFormat/>
    <w:pPr>
      <w:keepNext/>
      <w:keepLines/>
      <w:spacing w:before="260" w:after="260" w:line="416" w:lineRule="auto"/>
      <w:outlineLvl w:val="2"/>
    </w:pPr>
    <w:rPr>
      <w:b/>
      <w:bCs/>
      <w:sz w:val="32"/>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qFormat/>
    <w:pPr>
      <w:ind w:firstLine="640"/>
      <w:jc w:val="center"/>
    </w:pPr>
    <w:rPr>
      <w:rFonts w:ascii="宋体" w:hAnsi="宋体"/>
      <w:sz w:val="32"/>
      <w:szCs w:val="32"/>
    </w:rPr>
  </w:style>
  <w:style w:type="paragraph" w:styleId="af">
    <w:name w:val="Document Map"/>
    <w:basedOn w:val="aa"/>
    <w:link w:val="af0"/>
    <w:qFormat/>
    <w:rPr>
      <w:rFonts w:ascii="宋体"/>
      <w:sz w:val="18"/>
      <w:szCs w:val="18"/>
    </w:rPr>
  </w:style>
  <w:style w:type="paragraph" w:styleId="af1">
    <w:name w:val="annotation text"/>
    <w:basedOn w:val="aa"/>
    <w:link w:val="af2"/>
    <w:uiPriority w:val="99"/>
    <w:qFormat/>
    <w:pPr>
      <w:jc w:val="left"/>
    </w:pPr>
    <w:rPr>
      <w:szCs w:val="21"/>
    </w:rPr>
  </w:style>
  <w:style w:type="paragraph" w:styleId="af3">
    <w:name w:val="Body Text Indent"/>
    <w:basedOn w:val="aa"/>
    <w:link w:val="af4"/>
    <w:qFormat/>
    <w:pPr>
      <w:spacing w:after="120"/>
      <w:ind w:leftChars="200" w:left="420"/>
    </w:pPr>
  </w:style>
  <w:style w:type="paragraph" w:styleId="TOC3">
    <w:name w:val="toc 3"/>
    <w:basedOn w:val="aa"/>
    <w:next w:val="aa"/>
    <w:uiPriority w:val="39"/>
    <w:qFormat/>
    <w:pPr>
      <w:ind w:leftChars="400" w:left="840"/>
    </w:pPr>
  </w:style>
  <w:style w:type="paragraph" w:styleId="af5">
    <w:name w:val="Date"/>
    <w:basedOn w:val="aa"/>
    <w:next w:val="aa"/>
    <w:link w:val="af6"/>
    <w:semiHidden/>
    <w:unhideWhenUsed/>
    <w:qFormat/>
    <w:pPr>
      <w:ind w:leftChars="2500" w:left="100"/>
    </w:pPr>
  </w:style>
  <w:style w:type="paragraph" w:styleId="20">
    <w:name w:val="Body Text Indent 2"/>
    <w:basedOn w:val="aa"/>
    <w:link w:val="21"/>
    <w:semiHidden/>
    <w:unhideWhenUsed/>
    <w:qFormat/>
    <w:pPr>
      <w:spacing w:after="120" w:line="480" w:lineRule="auto"/>
      <w:ind w:leftChars="200" w:left="420"/>
    </w:pPr>
  </w:style>
  <w:style w:type="paragraph" w:styleId="af7">
    <w:name w:val="Balloon Text"/>
    <w:basedOn w:val="aa"/>
    <w:link w:val="af8"/>
    <w:uiPriority w:val="99"/>
    <w:qFormat/>
    <w:rPr>
      <w:sz w:val="18"/>
      <w:szCs w:val="18"/>
    </w:rPr>
  </w:style>
  <w:style w:type="paragraph" w:styleId="af9">
    <w:name w:val="footer"/>
    <w:basedOn w:val="aa"/>
    <w:link w:val="afa"/>
    <w:uiPriority w:val="99"/>
    <w:qFormat/>
    <w:pPr>
      <w:tabs>
        <w:tab w:val="center" w:pos="4153"/>
        <w:tab w:val="right" w:pos="8306"/>
      </w:tabs>
      <w:snapToGrid w:val="0"/>
      <w:jc w:val="left"/>
    </w:pPr>
    <w:rPr>
      <w:sz w:val="18"/>
      <w:szCs w:val="18"/>
    </w:rPr>
  </w:style>
  <w:style w:type="paragraph" w:styleId="afb">
    <w:name w:val="header"/>
    <w:basedOn w:val="aa"/>
    <w:link w:val="af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a"/>
    <w:next w:val="aa"/>
    <w:uiPriority w:val="39"/>
    <w:qFormat/>
  </w:style>
  <w:style w:type="paragraph" w:styleId="afd">
    <w:name w:val="Subtitle"/>
    <w:basedOn w:val="aa"/>
    <w:next w:val="aa"/>
    <w:link w:val="afe"/>
    <w:uiPriority w:val="11"/>
    <w:qFormat/>
    <w:pPr>
      <w:spacing w:before="240" w:after="60" w:line="312" w:lineRule="auto"/>
      <w:ind w:firstLineChars="0" w:firstLine="0"/>
      <w:jc w:val="left"/>
      <w:outlineLvl w:val="1"/>
    </w:pPr>
    <w:rPr>
      <w:rFonts w:ascii="等线 Light" w:hAnsi="等线 Light"/>
      <w:b/>
      <w:bCs/>
      <w:kern w:val="28"/>
      <w:sz w:val="28"/>
      <w:szCs w:val="32"/>
    </w:rPr>
  </w:style>
  <w:style w:type="paragraph" w:styleId="aff">
    <w:name w:val="footnote text"/>
    <w:basedOn w:val="aa"/>
    <w:link w:val="aff0"/>
    <w:uiPriority w:val="99"/>
    <w:semiHidden/>
    <w:unhideWhenUsed/>
    <w:qFormat/>
    <w:pPr>
      <w:snapToGrid w:val="0"/>
      <w:jc w:val="left"/>
    </w:pPr>
    <w:rPr>
      <w:sz w:val="18"/>
      <w:szCs w:val="18"/>
    </w:rPr>
  </w:style>
  <w:style w:type="paragraph" w:styleId="31">
    <w:name w:val="Body Text Indent 3"/>
    <w:basedOn w:val="aa"/>
    <w:link w:val="310"/>
    <w:qFormat/>
    <w:pPr>
      <w:spacing w:after="120"/>
      <w:ind w:leftChars="200" w:left="420"/>
    </w:pPr>
    <w:rPr>
      <w:sz w:val="16"/>
      <w:szCs w:val="16"/>
    </w:rPr>
  </w:style>
  <w:style w:type="paragraph" w:styleId="TOC2">
    <w:name w:val="toc 2"/>
    <w:basedOn w:val="aa"/>
    <w:next w:val="aa"/>
    <w:uiPriority w:val="39"/>
    <w:qFormat/>
    <w:pPr>
      <w:ind w:leftChars="200" w:left="420"/>
    </w:pPr>
  </w:style>
  <w:style w:type="paragraph" w:styleId="aff1">
    <w:name w:val="Normal (Web)"/>
    <w:basedOn w:val="aa"/>
    <w:uiPriority w:val="99"/>
    <w:unhideWhenUsed/>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ff2">
    <w:name w:val="Title"/>
    <w:basedOn w:val="aa"/>
    <w:qFormat/>
    <w:pPr>
      <w:spacing w:before="240" w:after="60"/>
      <w:jc w:val="center"/>
      <w:outlineLvl w:val="0"/>
    </w:pPr>
    <w:rPr>
      <w:rFonts w:ascii="Arial" w:hAnsi="Arial" w:cs="Arial"/>
      <w:b/>
      <w:bCs/>
      <w:sz w:val="32"/>
      <w:szCs w:val="32"/>
    </w:rPr>
  </w:style>
  <w:style w:type="paragraph" w:styleId="aff3">
    <w:name w:val="annotation subject"/>
    <w:basedOn w:val="af1"/>
    <w:next w:val="af1"/>
    <w:link w:val="aff4"/>
    <w:uiPriority w:val="99"/>
    <w:semiHidden/>
    <w:unhideWhenUsed/>
    <w:qFormat/>
    <w:rPr>
      <w:b/>
      <w:bCs/>
      <w:szCs w:val="22"/>
    </w:rPr>
  </w:style>
  <w:style w:type="paragraph" w:styleId="22">
    <w:name w:val="Body Text First Indent 2"/>
    <w:basedOn w:val="af3"/>
    <w:link w:val="23"/>
    <w:qFormat/>
    <w:pPr>
      <w:ind w:firstLine="420"/>
    </w:pPr>
    <w:rPr>
      <w:rFonts w:eastAsia="仿宋_GB2312"/>
      <w:sz w:val="32"/>
      <w:szCs w:val="20"/>
    </w:rPr>
  </w:style>
  <w:style w:type="table" w:styleId="aff5">
    <w:name w:val="Table Grid"/>
    <w:basedOn w:val="a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c"/>
    <w:uiPriority w:val="22"/>
    <w:qFormat/>
    <w:rPr>
      <w:b/>
      <w:bCs/>
    </w:rPr>
  </w:style>
  <w:style w:type="character" w:styleId="aff7">
    <w:name w:val="page number"/>
    <w:basedOn w:val="ac"/>
    <w:qFormat/>
  </w:style>
  <w:style w:type="character" w:styleId="aff8">
    <w:name w:val="FollowedHyperlink"/>
    <w:basedOn w:val="ac"/>
    <w:semiHidden/>
    <w:unhideWhenUsed/>
    <w:qFormat/>
    <w:rPr>
      <w:color w:val="800080" w:themeColor="followedHyperlink"/>
      <w:u w:val="single"/>
    </w:rPr>
  </w:style>
  <w:style w:type="character" w:styleId="aff9">
    <w:name w:val="Emphasis"/>
    <w:uiPriority w:val="20"/>
    <w:qFormat/>
    <w:rPr>
      <w:color w:val="CC0000"/>
    </w:rPr>
  </w:style>
  <w:style w:type="character" w:styleId="affa">
    <w:name w:val="Hyperlink"/>
    <w:uiPriority w:val="99"/>
    <w:unhideWhenUsed/>
    <w:qFormat/>
    <w:rPr>
      <w:color w:val="0000FF"/>
      <w:u w:val="single"/>
    </w:rPr>
  </w:style>
  <w:style w:type="character" w:styleId="affb">
    <w:name w:val="annotation reference"/>
    <w:uiPriority w:val="99"/>
    <w:qFormat/>
    <w:rPr>
      <w:sz w:val="21"/>
      <w:szCs w:val="21"/>
    </w:rPr>
  </w:style>
  <w:style w:type="character" w:styleId="affc">
    <w:name w:val="footnote reference"/>
    <w:basedOn w:val="ac"/>
    <w:uiPriority w:val="99"/>
    <w:semiHidden/>
    <w:unhideWhenUsed/>
    <w:qFormat/>
    <w:rPr>
      <w:vertAlign w:val="superscript"/>
    </w:rPr>
  </w:style>
  <w:style w:type="character" w:customStyle="1" w:styleId="afc">
    <w:name w:val="页眉 字符"/>
    <w:link w:val="afb"/>
    <w:uiPriority w:val="99"/>
    <w:qFormat/>
    <w:rPr>
      <w:kern w:val="2"/>
      <w:sz w:val="18"/>
      <w:szCs w:val="18"/>
    </w:rPr>
  </w:style>
  <w:style w:type="paragraph" w:customStyle="1" w:styleId="TOC10">
    <w:name w:val="TOC 标题1"/>
    <w:basedOn w:val="1"/>
    <w:next w:val="aa"/>
    <w:uiPriority w:val="39"/>
    <w:qFormat/>
    <w:pPr>
      <w:keepNext/>
      <w:widowControl/>
      <w:spacing w:before="480" w:line="276" w:lineRule="auto"/>
      <w:jc w:val="left"/>
      <w:outlineLvl w:val="9"/>
    </w:pPr>
    <w:rPr>
      <w:rFonts w:ascii="Cambria" w:eastAsia="宋体" w:hAnsi="Cambria"/>
      <w:color w:val="365F91"/>
      <w:kern w:val="0"/>
      <w:szCs w:val="28"/>
    </w:rPr>
  </w:style>
  <w:style w:type="paragraph" w:customStyle="1" w:styleId="p0">
    <w:name w:val="p0"/>
    <w:basedOn w:val="aa"/>
    <w:qFormat/>
    <w:pPr>
      <w:widowControl/>
      <w:jc w:val="left"/>
    </w:pPr>
    <w:rPr>
      <w:rFonts w:ascii="宋体" w:hAnsi="宋体" w:cs="宋体"/>
      <w:kern w:val="0"/>
    </w:rPr>
  </w:style>
  <w:style w:type="character" w:customStyle="1" w:styleId="af8">
    <w:name w:val="批注框文本 字符"/>
    <w:link w:val="af7"/>
    <w:uiPriority w:val="99"/>
    <w:qFormat/>
    <w:rPr>
      <w:kern w:val="2"/>
      <w:sz w:val="18"/>
      <w:szCs w:val="18"/>
    </w:rPr>
  </w:style>
  <w:style w:type="character" w:customStyle="1" w:styleId="af0">
    <w:name w:val="文档结构图 字符"/>
    <w:link w:val="af"/>
    <w:qFormat/>
    <w:rPr>
      <w:rFonts w:ascii="宋体"/>
      <w:kern w:val="2"/>
      <w:sz w:val="18"/>
      <w:szCs w:val="18"/>
    </w:rPr>
  </w:style>
  <w:style w:type="character" w:customStyle="1" w:styleId="af2">
    <w:name w:val="批注文字 字符"/>
    <w:link w:val="af1"/>
    <w:uiPriority w:val="99"/>
    <w:qFormat/>
    <w:rPr>
      <w:rFonts w:cs="Calibri"/>
      <w:kern w:val="2"/>
      <w:sz w:val="21"/>
      <w:szCs w:val="21"/>
    </w:rPr>
  </w:style>
  <w:style w:type="character" w:customStyle="1" w:styleId="af4">
    <w:name w:val="正文文本缩进 字符"/>
    <w:basedOn w:val="ac"/>
    <w:link w:val="af3"/>
    <w:qFormat/>
    <w:rPr>
      <w:kern w:val="2"/>
      <w:sz w:val="21"/>
      <w:szCs w:val="22"/>
    </w:rPr>
  </w:style>
  <w:style w:type="character" w:customStyle="1" w:styleId="23">
    <w:name w:val="正文文本首行缩进 2 字符"/>
    <w:basedOn w:val="af4"/>
    <w:link w:val="22"/>
    <w:qFormat/>
    <w:rPr>
      <w:rFonts w:ascii="Times New Roman" w:eastAsia="仿宋_GB2312" w:hAnsi="Times New Roman"/>
      <w:kern w:val="2"/>
      <w:sz w:val="32"/>
      <w:szCs w:val="22"/>
    </w:rPr>
  </w:style>
  <w:style w:type="paragraph" w:customStyle="1" w:styleId="a1">
    <w:name w:val="一级条标题"/>
    <w:next w:val="aa"/>
    <w:qFormat/>
    <w:pPr>
      <w:numPr>
        <w:ilvl w:val="1"/>
        <w:numId w:val="2"/>
      </w:numPr>
      <w:spacing w:beforeLines="50" w:afterLines="50"/>
      <w:outlineLvl w:val="2"/>
    </w:pPr>
    <w:rPr>
      <w:rFonts w:ascii="黑体" w:eastAsia="黑体"/>
      <w:sz w:val="21"/>
      <w:szCs w:val="21"/>
    </w:rPr>
  </w:style>
  <w:style w:type="paragraph" w:customStyle="1" w:styleId="a0">
    <w:name w:val="章标题"/>
    <w:next w:val="aa"/>
    <w:qFormat/>
    <w:pPr>
      <w:numPr>
        <w:numId w:val="2"/>
      </w:numPr>
      <w:spacing w:beforeLines="100" w:afterLines="100"/>
      <w:jc w:val="both"/>
      <w:outlineLvl w:val="1"/>
    </w:pPr>
    <w:rPr>
      <w:rFonts w:ascii="黑体" w:eastAsia="黑体"/>
      <w:sz w:val="21"/>
    </w:rPr>
  </w:style>
  <w:style w:type="paragraph" w:customStyle="1" w:styleId="a2">
    <w:name w:val="二级条标题"/>
    <w:basedOn w:val="a1"/>
    <w:next w:val="aa"/>
    <w:qFormat/>
    <w:pPr>
      <w:numPr>
        <w:ilvl w:val="2"/>
      </w:numPr>
      <w:spacing w:before="50" w:after="50"/>
      <w:outlineLvl w:val="3"/>
    </w:pPr>
    <w:rPr>
      <w:sz w:val="28"/>
    </w:rPr>
  </w:style>
  <w:style w:type="paragraph" w:customStyle="1" w:styleId="a3">
    <w:name w:val="四级条标题"/>
    <w:basedOn w:val="aa"/>
    <w:next w:val="aa"/>
    <w:qFormat/>
    <w:pPr>
      <w:widowControl/>
      <w:numPr>
        <w:ilvl w:val="4"/>
        <w:numId w:val="2"/>
      </w:numPr>
      <w:spacing w:beforeLines="50"/>
      <w:ind w:firstLineChars="0"/>
      <w:jc w:val="left"/>
      <w:outlineLvl w:val="5"/>
    </w:pPr>
    <w:rPr>
      <w:rFonts w:ascii="黑体" w:eastAsia="黑体"/>
      <w:kern w:val="0"/>
      <w:szCs w:val="21"/>
    </w:rPr>
  </w:style>
  <w:style w:type="paragraph" w:customStyle="1" w:styleId="a4">
    <w:name w:val="五级条标题"/>
    <w:basedOn w:val="a3"/>
    <w:next w:val="aa"/>
    <w:qFormat/>
    <w:pPr>
      <w:numPr>
        <w:ilvl w:val="5"/>
      </w:numPr>
      <w:outlineLvl w:val="6"/>
    </w:pPr>
  </w:style>
  <w:style w:type="character" w:customStyle="1" w:styleId="30">
    <w:name w:val="标题 3 字符"/>
    <w:basedOn w:val="ac"/>
    <w:link w:val="3"/>
    <w:semiHidden/>
    <w:qFormat/>
    <w:rPr>
      <w:b/>
      <w:bCs/>
      <w:kern w:val="2"/>
      <w:sz w:val="32"/>
      <w:szCs w:val="32"/>
    </w:rPr>
  </w:style>
  <w:style w:type="paragraph" w:customStyle="1" w:styleId="affd">
    <w:name w:val="封面标准文稿类别"/>
    <w:qFormat/>
    <w:pPr>
      <w:spacing w:before="440" w:line="400" w:lineRule="exact"/>
      <w:jc w:val="center"/>
    </w:pPr>
    <w:rPr>
      <w:rFonts w:ascii="宋体"/>
      <w:sz w:val="24"/>
    </w:rPr>
  </w:style>
  <w:style w:type="paragraph" w:styleId="affe">
    <w:name w:val="List Paragraph"/>
    <w:basedOn w:val="aa"/>
    <w:uiPriority w:val="34"/>
    <w:qFormat/>
    <w:pPr>
      <w:ind w:firstLine="420"/>
    </w:pPr>
  </w:style>
  <w:style w:type="character" w:customStyle="1" w:styleId="fontstyle01">
    <w:name w:val="fontstyle01"/>
    <w:basedOn w:val="ac"/>
    <w:qFormat/>
    <w:rPr>
      <w:rFonts w:ascii="宋体" w:eastAsia="宋体" w:hAnsi="宋体" w:hint="eastAsia"/>
      <w:color w:val="000000"/>
      <w:sz w:val="22"/>
      <w:szCs w:val="22"/>
    </w:rPr>
  </w:style>
  <w:style w:type="character" w:customStyle="1" w:styleId="fontstyle21">
    <w:name w:val="fontstyle21"/>
    <w:basedOn w:val="ac"/>
    <w:qFormat/>
    <w:rPr>
      <w:rFonts w:ascii="Times New Roman" w:hAnsi="Times New Roman" w:cs="Times New Roman" w:hint="default"/>
      <w:color w:val="000000"/>
      <w:sz w:val="22"/>
      <w:szCs w:val="22"/>
    </w:rPr>
  </w:style>
  <w:style w:type="character" w:customStyle="1" w:styleId="32">
    <w:name w:val="正文文本缩进 3 字符"/>
    <w:basedOn w:val="ac"/>
    <w:semiHidden/>
    <w:qFormat/>
    <w:rPr>
      <w:rFonts w:ascii="Calibri" w:hAnsi="Calibri"/>
      <w:kern w:val="2"/>
      <w:sz w:val="16"/>
      <w:szCs w:val="16"/>
    </w:rPr>
  </w:style>
  <w:style w:type="character" w:customStyle="1" w:styleId="310">
    <w:name w:val="正文文本缩进 3 字符1"/>
    <w:link w:val="31"/>
    <w:qFormat/>
    <w:rPr>
      <w:kern w:val="2"/>
      <w:sz w:val="16"/>
      <w:szCs w:val="16"/>
    </w:rPr>
  </w:style>
  <w:style w:type="character" w:customStyle="1" w:styleId="afe">
    <w:name w:val="副标题 字符"/>
    <w:basedOn w:val="ac"/>
    <w:link w:val="afd"/>
    <w:uiPriority w:val="11"/>
    <w:qFormat/>
    <w:rPr>
      <w:rFonts w:ascii="等线 Light" w:hAnsi="等线 Light"/>
      <w:b/>
      <w:bCs/>
      <w:kern w:val="28"/>
      <w:sz w:val="28"/>
      <w:szCs w:val="32"/>
    </w:rPr>
  </w:style>
  <w:style w:type="character" w:customStyle="1" w:styleId="21">
    <w:name w:val="正文文本缩进 2 字符"/>
    <w:basedOn w:val="ac"/>
    <w:link w:val="20"/>
    <w:semiHidden/>
    <w:qFormat/>
    <w:rPr>
      <w:kern w:val="2"/>
      <w:sz w:val="21"/>
      <w:szCs w:val="22"/>
    </w:rPr>
  </w:style>
  <w:style w:type="character" w:customStyle="1" w:styleId="aff4">
    <w:name w:val="批注主题 字符"/>
    <w:basedOn w:val="af2"/>
    <w:link w:val="aff3"/>
    <w:uiPriority w:val="99"/>
    <w:semiHidden/>
    <w:qFormat/>
    <w:rPr>
      <w:rFonts w:cs="Calibri"/>
      <w:b/>
      <w:bCs/>
      <w:kern w:val="2"/>
      <w:sz w:val="21"/>
      <w:szCs w:val="22"/>
    </w:rPr>
  </w:style>
  <w:style w:type="character" w:customStyle="1" w:styleId="11">
    <w:name w:val="未处理的提及1"/>
    <w:basedOn w:val="ac"/>
    <w:uiPriority w:val="99"/>
    <w:semiHidden/>
    <w:unhideWhenUsed/>
    <w:qFormat/>
    <w:rPr>
      <w:color w:val="605E5C"/>
      <w:shd w:val="clear" w:color="auto" w:fill="E1DFDD"/>
    </w:rPr>
  </w:style>
  <w:style w:type="paragraph" w:customStyle="1" w:styleId="afff">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
    <w:qFormat/>
    <w:rPr>
      <w:rFonts w:ascii="宋体"/>
      <w:sz w:val="21"/>
    </w:rPr>
  </w:style>
  <w:style w:type="character" w:customStyle="1" w:styleId="af6">
    <w:name w:val="日期 字符"/>
    <w:basedOn w:val="ac"/>
    <w:link w:val="af5"/>
    <w:semiHidden/>
    <w:qFormat/>
    <w:rPr>
      <w:kern w:val="2"/>
      <w:sz w:val="21"/>
      <w:szCs w:val="22"/>
    </w:rPr>
  </w:style>
  <w:style w:type="character" w:customStyle="1" w:styleId="10">
    <w:name w:val="标题 1 字符"/>
    <w:basedOn w:val="ac"/>
    <w:link w:val="1"/>
    <w:qFormat/>
    <w:rPr>
      <w:rFonts w:eastAsia="黑体"/>
      <w:b/>
      <w:bCs/>
      <w:kern w:val="44"/>
      <w:sz w:val="28"/>
      <w:szCs w:val="44"/>
    </w:rPr>
  </w:style>
  <w:style w:type="character" w:customStyle="1" w:styleId="afa">
    <w:name w:val="页脚 字符"/>
    <w:basedOn w:val="ac"/>
    <w:link w:val="af9"/>
    <w:uiPriority w:val="99"/>
    <w:qFormat/>
    <w:rPr>
      <w:kern w:val="2"/>
      <w:sz w:val="18"/>
      <w:szCs w:val="18"/>
    </w:rPr>
  </w:style>
  <w:style w:type="table" w:customStyle="1" w:styleId="12">
    <w:name w:val="网格型1"/>
    <w:basedOn w:val="ad"/>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注：（正文）"/>
    <w:basedOn w:val="aa"/>
    <w:next w:val="aa"/>
    <w:qFormat/>
    <w:pPr>
      <w:numPr>
        <w:numId w:val="3"/>
      </w:numPr>
      <w:autoSpaceDE w:val="0"/>
      <w:autoSpaceDN w:val="0"/>
      <w:spacing w:line="240" w:lineRule="auto"/>
      <w:ind w:firstLineChars="0" w:firstLine="0"/>
    </w:pPr>
    <w:rPr>
      <w:rFonts w:ascii="宋体"/>
      <w:kern w:val="0"/>
      <w:sz w:val="18"/>
      <w:szCs w:val="18"/>
    </w:rPr>
  </w:style>
  <w:style w:type="character" w:customStyle="1" w:styleId="aff0">
    <w:name w:val="脚注文本 字符"/>
    <w:basedOn w:val="ac"/>
    <w:link w:val="aff"/>
    <w:uiPriority w:val="99"/>
    <w:semiHidden/>
    <w:qFormat/>
    <w:rPr>
      <w:kern w:val="2"/>
      <w:sz w:val="18"/>
      <w:szCs w:val="18"/>
    </w:rPr>
  </w:style>
  <w:style w:type="paragraph" w:customStyle="1" w:styleId="a6">
    <w:name w:val="列项——（一级）"/>
    <w:qFormat/>
    <w:pPr>
      <w:widowControl w:val="0"/>
      <w:numPr>
        <w:numId w:val="4"/>
      </w:numPr>
      <w:jc w:val="both"/>
    </w:pPr>
    <w:rPr>
      <w:rFonts w:ascii="宋体"/>
      <w:sz w:val="21"/>
    </w:rPr>
  </w:style>
  <w:style w:type="paragraph" w:customStyle="1" w:styleId="a7">
    <w:name w:val="列项●（二级）"/>
    <w:qFormat/>
    <w:pPr>
      <w:numPr>
        <w:ilvl w:val="1"/>
        <w:numId w:val="4"/>
      </w:numPr>
      <w:tabs>
        <w:tab w:val="left" w:pos="840"/>
      </w:tabs>
      <w:jc w:val="both"/>
    </w:pPr>
    <w:rPr>
      <w:rFonts w:ascii="宋体"/>
      <w:sz w:val="21"/>
    </w:rPr>
  </w:style>
  <w:style w:type="paragraph" w:customStyle="1" w:styleId="a8">
    <w:name w:val="列项◆（三级）"/>
    <w:basedOn w:val="aa"/>
    <w:qFormat/>
    <w:pPr>
      <w:numPr>
        <w:ilvl w:val="2"/>
        <w:numId w:val="4"/>
      </w:numPr>
      <w:spacing w:line="240" w:lineRule="auto"/>
      <w:ind w:firstLineChars="0" w:firstLine="0"/>
    </w:pPr>
    <w:rPr>
      <w:rFonts w:ascii="宋体"/>
      <w:szCs w:val="21"/>
    </w:rPr>
  </w:style>
  <w:style w:type="paragraph" w:customStyle="1" w:styleId="a9">
    <w:name w:val="四级无"/>
    <w:basedOn w:val="a3"/>
    <w:qFormat/>
    <w:pPr>
      <w:numPr>
        <w:numId w:val="5"/>
      </w:numPr>
      <w:spacing w:beforeLines="0" w:line="240" w:lineRule="auto"/>
    </w:pPr>
    <w:rPr>
      <w:rFonts w:ascii="宋体" w:eastAsia="宋体"/>
    </w:rPr>
  </w:style>
  <w:style w:type="paragraph" w:customStyle="1" w:styleId="a">
    <w:name w:val="正文表标题"/>
    <w:next w:val="afff"/>
    <w:qFormat/>
    <w:pPr>
      <w:numPr>
        <w:numId w:val="6"/>
      </w:numPr>
      <w:spacing w:beforeLines="50" w:before="156" w:afterLines="50" w:after="156"/>
      <w:jc w:val="center"/>
    </w:pPr>
    <w:rPr>
      <w:rFonts w:ascii="黑体" w:eastAsia="黑体"/>
      <w:sz w:val="21"/>
    </w:rPr>
  </w:style>
  <w:style w:type="paragraph" w:customStyle="1" w:styleId="13">
    <w:name w:val="列出段落1"/>
    <w:basedOn w:val="aa"/>
    <w:uiPriority w:val="34"/>
    <w:qFormat/>
    <w:pPr>
      <w:spacing w:line="560" w:lineRule="exact"/>
      <w:ind w:firstLine="420"/>
    </w:pPr>
    <w:rPr>
      <w:rFonts w:ascii="Calibri" w:hAnsi="Calibri"/>
    </w:rPr>
  </w:style>
  <w:style w:type="paragraph" w:customStyle="1" w:styleId="afff0">
    <w:name w:val="标准文件_段"/>
    <w:link w:val="Char0"/>
    <w:qFormat/>
    <w:pPr>
      <w:autoSpaceDE w:val="0"/>
      <w:autoSpaceDN w:val="0"/>
      <w:ind w:firstLineChars="200" w:firstLine="200"/>
      <w:jc w:val="both"/>
    </w:pPr>
    <w:rPr>
      <w:rFonts w:ascii="宋体"/>
      <w:sz w:val="21"/>
    </w:rPr>
  </w:style>
  <w:style w:type="character" w:customStyle="1" w:styleId="Char0">
    <w:name w:val="标准文件_段 Char"/>
    <w:link w:val="afff0"/>
    <w:qFormat/>
    <w:rPr>
      <w:rFonts w:ascii="宋体"/>
      <w:sz w:val="21"/>
    </w:rPr>
  </w:style>
  <w:style w:type="table" w:customStyle="1" w:styleId="24">
    <w:name w:val="网格型2"/>
    <w:basedOn w:val="ad"/>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c"/>
    <w:uiPriority w:val="99"/>
    <w:semiHidden/>
    <w:qFormat/>
    <w:rPr>
      <w:color w:val="808080"/>
    </w:rPr>
  </w:style>
  <w:style w:type="paragraph" w:customStyle="1" w:styleId="14">
    <w:name w:val="修订1"/>
    <w:hidden/>
    <w:uiPriority w:val="99"/>
    <w:semiHidden/>
    <w:qFormat/>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hart" Target="charts/chart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chart" Target="charts/chart7.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chart" Target="charts/chart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hart" Target="charts/chart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chart" Target="charts/chart5.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1968\Desktop\&#33021;&#25928;&#26631;&#20934;-20210827\"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3"/>
              <c:layout>
                <c:manualLayout>
                  <c:x val="-6.7216620837152602E-2"/>
                  <c:y val="0.1188791395414660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FF-4CCB-B50C-1C29494AB153}"/>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'[#2019年江苏省污水集中处理设施清单-2021.10.6.xlsx]城镇-规模分析及运行负荷'!$Q$14:$Q$18</c:f>
              <c:strCache>
                <c:ptCount val="5"/>
                <c:pt idx="0">
                  <c:v>S≥20</c:v>
                </c:pt>
                <c:pt idx="1">
                  <c:v>10≤S＜20</c:v>
                </c:pt>
                <c:pt idx="2">
                  <c:v>5≤S＜10</c:v>
                </c:pt>
                <c:pt idx="3">
                  <c:v>1≤S＜5</c:v>
                </c:pt>
                <c:pt idx="4">
                  <c:v>S＜1</c:v>
                </c:pt>
              </c:strCache>
            </c:strRef>
          </c:cat>
          <c:val>
            <c:numRef>
              <c:f>'[#2019年江苏省污水集中处理设施清单-2021.10.6.xlsx]城镇-规模分析及运行负荷'!$R$14:$R$18</c:f>
              <c:numCache>
                <c:formatCode>General</c:formatCode>
                <c:ptCount val="5"/>
                <c:pt idx="0">
                  <c:v>86.011913169815202</c:v>
                </c:pt>
                <c:pt idx="1">
                  <c:v>90.2161289445812</c:v>
                </c:pt>
                <c:pt idx="2">
                  <c:v>78.065043334988005</c:v>
                </c:pt>
                <c:pt idx="3">
                  <c:v>65.800885435040499</c:v>
                </c:pt>
                <c:pt idx="4">
                  <c:v>51.561969735304501</c:v>
                </c:pt>
              </c:numCache>
            </c:numRef>
          </c:val>
          <c:extLst>
            <c:ext xmlns:c16="http://schemas.microsoft.com/office/drawing/2014/chart" uri="{C3380CC4-5D6E-409C-BE32-E72D297353CC}">
              <c16:uniqueId val="{00000001-4CFF-4CCB-B50C-1C29494AB153}"/>
            </c:ext>
          </c:extLst>
        </c:ser>
        <c:dLbls>
          <c:showLegendKey val="0"/>
          <c:showVal val="1"/>
          <c:showCatName val="0"/>
          <c:showSerName val="0"/>
          <c:showPercent val="0"/>
          <c:showBubbleSize val="0"/>
        </c:dLbls>
        <c:gapWidth val="219"/>
        <c:overlap val="-27"/>
        <c:axId val="70943132"/>
        <c:axId val="998198847"/>
      </c:barChart>
      <c:lineChart>
        <c:grouping val="standard"/>
        <c:varyColors val="0"/>
        <c:ser>
          <c:idx val="1"/>
          <c:order val="1"/>
          <c:spPr>
            <a:ln w="2857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2-4CFF-4CCB-B50C-1C29494AB153}"/>
                </c:ext>
              </c:extLst>
            </c:dLbl>
            <c:dLbl>
              <c:idx val="1"/>
              <c:delete val="1"/>
              <c:extLst>
                <c:ext xmlns:c15="http://schemas.microsoft.com/office/drawing/2012/chart" uri="{CE6537A1-D6FC-4f65-9D91-7224C49458BB}"/>
                <c:ext xmlns:c16="http://schemas.microsoft.com/office/drawing/2014/chart" uri="{C3380CC4-5D6E-409C-BE32-E72D297353CC}">
                  <c16:uniqueId val="{00000003-4CFF-4CCB-B50C-1C29494AB153}"/>
                </c:ext>
              </c:extLst>
            </c:dLbl>
            <c:dLbl>
              <c:idx val="2"/>
              <c:delete val="1"/>
              <c:extLst>
                <c:ext xmlns:c15="http://schemas.microsoft.com/office/drawing/2012/chart" uri="{CE6537A1-D6FC-4f65-9D91-7224C49458BB}"/>
                <c:ext xmlns:c16="http://schemas.microsoft.com/office/drawing/2014/chart" uri="{C3380CC4-5D6E-409C-BE32-E72D297353CC}">
                  <c16:uniqueId val="{00000004-4CFF-4CCB-B50C-1C29494AB153}"/>
                </c:ext>
              </c:extLst>
            </c:dLbl>
            <c:dLbl>
              <c:idx val="3"/>
              <c:delete val="1"/>
              <c:extLst>
                <c:ext xmlns:c15="http://schemas.microsoft.com/office/drawing/2012/chart" uri="{CE6537A1-D6FC-4f65-9D91-7224C49458BB}"/>
                <c:ext xmlns:c16="http://schemas.microsoft.com/office/drawing/2014/chart" uri="{C3380CC4-5D6E-409C-BE32-E72D297353CC}">
                  <c16:uniqueId val="{00000005-4CFF-4CCB-B50C-1C29494AB153}"/>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'[#2019年江苏省污水集中处理设施清单-2021.10.6.xlsx]城镇-规模分析及运行负荷'!$Q$14:$Q$18</c:f>
              <c:strCache>
                <c:ptCount val="5"/>
                <c:pt idx="0">
                  <c:v>S≥20</c:v>
                </c:pt>
                <c:pt idx="1">
                  <c:v>10≤S＜20</c:v>
                </c:pt>
                <c:pt idx="2">
                  <c:v>5≤S＜10</c:v>
                </c:pt>
                <c:pt idx="3">
                  <c:v>1≤S＜5</c:v>
                </c:pt>
                <c:pt idx="4">
                  <c:v>S＜1</c:v>
                </c:pt>
              </c:strCache>
            </c:strRef>
          </c:cat>
          <c:val>
            <c:numRef>
              <c:f>'[#2019年江苏省污水集中处理设施清单-2021.10.6.xlsx]城镇-规模分析及运行负荷'!$S$14:$S$18</c:f>
              <c:numCache>
                <c:formatCode>General</c:formatCode>
                <c:ptCount val="5"/>
                <c:pt idx="0">
                  <c:v>74.454454872353907</c:v>
                </c:pt>
                <c:pt idx="1">
                  <c:v>74.301732093295598</c:v>
                </c:pt>
                <c:pt idx="2">
                  <c:v>74.301732093295598</c:v>
                </c:pt>
                <c:pt idx="3">
                  <c:v>74.301732093295598</c:v>
                </c:pt>
                <c:pt idx="4">
                  <c:v>74.301732093295598</c:v>
                </c:pt>
              </c:numCache>
            </c:numRef>
          </c:val>
          <c:smooth val="0"/>
          <c:extLst>
            <c:ext xmlns:c16="http://schemas.microsoft.com/office/drawing/2014/chart" uri="{C3380CC4-5D6E-409C-BE32-E72D297353CC}">
              <c16:uniqueId val="{00000006-4CFF-4CCB-B50C-1C29494AB153}"/>
            </c:ext>
          </c:extLst>
        </c:ser>
        <c:dLbls>
          <c:showLegendKey val="0"/>
          <c:showVal val="1"/>
          <c:showCatName val="0"/>
          <c:showSerName val="0"/>
          <c:showPercent val="0"/>
          <c:showBubbleSize val="0"/>
        </c:dLbls>
        <c:marker val="1"/>
        <c:smooth val="0"/>
        <c:axId val="70943132"/>
        <c:axId val="998198847"/>
      </c:lineChart>
      <c:catAx>
        <c:axId val="7094313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设计处理规模（万吨</a:t>
                </a:r>
                <a:r>
                  <a:rPr lang="en-US" altLang="zh-CN"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r>
                  <a:rPr lang="zh-CN" altLang="en-US"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日）</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998198847"/>
        <c:crosses val="autoZero"/>
        <c:auto val="1"/>
        <c:lblAlgn val="ctr"/>
        <c:lblOffset val="100"/>
        <c:noMultiLvlLbl val="0"/>
      </c:catAx>
      <c:valAx>
        <c:axId val="9981988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运行负荷率（</a:t>
                </a:r>
                <a:r>
                  <a:rPr lang="en-US" altLang="zh-CN"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r>
                  <a:rPr lang="zh-CN" altLang="en-US"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en-US" altLang="zh-CN"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3.0517404389529199E-2"/>
              <c:y val="0.16333824391396301"/>
            </c:manualLayout>
          </c:layout>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title>
        <c:numFmt formatCode="General" sourceLinked="1"/>
        <c:majorTickMark val="out"/>
        <c:minorTickMark val="none"/>
        <c:tickLblPos val="nextTo"/>
        <c:spPr>
          <a:noFill/>
          <a:ln>
            <a:solidFill>
              <a:sysClr val="window" lastClr="FFFFFF">
                <a:lumMod val="85000"/>
              </a:sysClr>
            </a:solidFill>
          </a:ln>
          <a:effectLst/>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7094313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sz="12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运行负荷&lt;60%</c:v>
                </c:pt>
                <c:pt idx="1">
                  <c:v>60%≤运行负荷&lt;80%</c:v>
                </c:pt>
                <c:pt idx="2">
                  <c:v>80%≤运行负荷&lt;100%</c:v>
                </c:pt>
                <c:pt idx="3">
                  <c:v>100%≤运行负荷&lt;120%</c:v>
                </c:pt>
              </c:strCache>
            </c:strRef>
          </c:cat>
          <c:val>
            <c:numRef>
              <c:f>Sheet1!$B$2:$B$5</c:f>
              <c:numCache>
                <c:formatCode>0.00_ </c:formatCode>
                <c:ptCount val="4"/>
                <c:pt idx="0">
                  <c:v>41.9</c:v>
                </c:pt>
                <c:pt idx="1">
                  <c:v>26.42</c:v>
                </c:pt>
                <c:pt idx="2">
                  <c:v>26.28</c:v>
                </c:pt>
                <c:pt idx="3">
                  <c:v>5.4</c:v>
                </c:pt>
              </c:numCache>
            </c:numRef>
          </c:val>
          <c:extLst>
            <c:ext xmlns:c16="http://schemas.microsoft.com/office/drawing/2014/chart" uri="{C3380CC4-5D6E-409C-BE32-E72D297353CC}">
              <c16:uniqueId val="{00000000-0B51-4921-8305-0A360A1B5233}"/>
            </c:ext>
          </c:extLst>
        </c:ser>
        <c:dLbls>
          <c:showLegendKey val="0"/>
          <c:showVal val="0"/>
          <c:showCatName val="0"/>
          <c:showSerName val="0"/>
          <c:showPercent val="0"/>
          <c:showBubbleSize val="0"/>
        </c:dLbls>
        <c:gapWidth val="219"/>
        <c:overlap val="-27"/>
        <c:axId val="521806416"/>
        <c:axId val="521804120"/>
      </c:barChart>
      <c:catAx>
        <c:axId val="52180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521804120"/>
        <c:crosses val="autoZero"/>
        <c:auto val="1"/>
        <c:lblAlgn val="ctr"/>
        <c:lblOffset val="100"/>
        <c:noMultiLvlLbl val="0"/>
      </c:catAx>
      <c:valAx>
        <c:axId val="521804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r>
                  <a:rPr lang="zh-CN" altLang="en-US">
                    <a:solidFill>
                      <a:schemeClr val="tx1"/>
                    </a:solidFill>
                  </a:rPr>
                  <a:t>污水处理厂数量占比（</a:t>
                </a:r>
                <a:r>
                  <a:rPr lang="en-US" altLang="zh-CN">
                    <a:solidFill>
                      <a:schemeClr val="tx1"/>
                    </a:solidFill>
                  </a:rPr>
                  <a:t>%</a:t>
                </a:r>
                <a:r>
                  <a:rPr lang="zh-CN" altLang="en-US">
                    <a:solidFill>
                      <a:schemeClr val="tx1"/>
                    </a:solidFill>
                  </a:rPr>
                  <a:t>）</a:t>
                </a:r>
              </a:p>
            </c:rich>
          </c:tx>
          <c:layout>
            <c:manualLayout>
              <c:xMode val="edge"/>
              <c:yMode val="edge"/>
              <c:x val="3.2640949554896097E-2"/>
              <c:y val="2.8639618138424802E-2"/>
            </c:manualLayout>
          </c:layout>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title>
        <c:numFmt formatCode="0_ "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52180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每千克总污染物去除电耗（kW·h/kg)</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运行负荷&lt;60%</c:v>
                </c:pt>
                <c:pt idx="1">
                  <c:v>60%≤运行负荷&lt;80%</c:v>
                </c:pt>
                <c:pt idx="2">
                  <c:v>80%≤运行负荷&lt;100%</c:v>
                </c:pt>
                <c:pt idx="3">
                  <c:v>100%≤运行负荷&lt;120%</c:v>
                </c:pt>
              </c:strCache>
            </c:strRef>
          </c:cat>
          <c:val>
            <c:numRef>
              <c:f>Sheet1!$B$2:$B$5</c:f>
              <c:numCache>
                <c:formatCode>General</c:formatCode>
                <c:ptCount val="4"/>
                <c:pt idx="0">
                  <c:v>0.73</c:v>
                </c:pt>
                <c:pt idx="1">
                  <c:v>0.49</c:v>
                </c:pt>
                <c:pt idx="2">
                  <c:v>0.4</c:v>
                </c:pt>
                <c:pt idx="3">
                  <c:v>0.37</c:v>
                </c:pt>
              </c:numCache>
            </c:numRef>
          </c:val>
          <c:smooth val="0"/>
          <c:extLst>
            <c:ext xmlns:c16="http://schemas.microsoft.com/office/drawing/2014/chart" uri="{C3380CC4-5D6E-409C-BE32-E72D297353CC}">
              <c16:uniqueId val="{00000000-DF3A-48BD-9FAD-1D399165EA47}"/>
            </c:ext>
          </c:extLst>
        </c:ser>
        <c:dLbls>
          <c:showLegendKey val="0"/>
          <c:showVal val="0"/>
          <c:showCatName val="0"/>
          <c:showSerName val="0"/>
          <c:showPercent val="0"/>
          <c:showBubbleSize val="0"/>
        </c:dLbls>
        <c:smooth val="0"/>
        <c:axId val="803877192"/>
        <c:axId val="803878832"/>
      </c:lineChart>
      <c:catAx>
        <c:axId val="803877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03878832"/>
        <c:crosses val="autoZero"/>
        <c:auto val="1"/>
        <c:lblAlgn val="ctr"/>
        <c:lblOffset val="100"/>
        <c:noMultiLvlLbl val="0"/>
      </c:catAx>
      <c:valAx>
        <c:axId val="80387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10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r>
                  <a:rPr lang="zh-CN" altLang="en-US">
                    <a:solidFill>
                      <a:schemeClr val="tx1"/>
                    </a:solidFill>
                    <a:latin typeface="Times New Roman" panose="02020603050405020304" charset="0"/>
                    <a:ea typeface="宋体" panose="02010600030101010101" charset="-122"/>
                    <a:cs typeface="Times New Roman" panose="02020603050405020304" charset="0"/>
                  </a:rPr>
                  <a:t>每千克总污染物去除电耗（</a:t>
                </a:r>
                <a:r>
                  <a:rPr lang="en-US" altLang="zh-CN">
                    <a:solidFill>
                      <a:schemeClr val="tx1"/>
                    </a:solidFill>
                    <a:latin typeface="Times New Roman" panose="02020603050405020304" charset="0"/>
                    <a:ea typeface="宋体" panose="02010600030101010101" charset="-122"/>
                    <a:cs typeface="Times New Roman" panose="02020603050405020304" charset="0"/>
                  </a:rPr>
                  <a:t>kW·h/kg)</a:t>
                </a:r>
              </a:p>
            </c:rich>
          </c:tx>
          <c:layout>
            <c:manualLayout>
              <c:xMode val="edge"/>
              <c:yMode val="edge"/>
              <c:x val="2.97297297297297E-2"/>
              <c:y val="1.3953488372093001E-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1000" b="0" i="0" u="none" strike="noStrike" kern="1200" baseline="0">
                  <a:solidFill>
                    <a:schemeClr val="tx1"/>
                  </a:solidFill>
                  <a:latin typeface="Times New Roman" panose="02020603050405020304" charset="0"/>
                  <a:ea typeface="宋体" panose="02010600030101010101" charset="-122"/>
                  <a:cs typeface="Times New Roman" panose="02020603050405020304" charset="0"/>
                </a:defRPr>
              </a:pPr>
              <a:endParaRPr lang="zh-CN"/>
            </a:p>
          </c:txPr>
        </c:title>
        <c:numFmt formatCode="General" sourceLinked="1"/>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803877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47985267481601"/>
          <c:y val="0.11218808001649801"/>
          <c:w val="0.78727937220070798"/>
          <c:h val="0.65601869368308796"/>
        </c:manualLayout>
      </c:layout>
      <c:barChart>
        <c:barDir val="col"/>
        <c:grouping val="clustered"/>
        <c:varyColors val="0"/>
        <c:ser>
          <c:idx val="0"/>
          <c:order val="0"/>
          <c:tx>
            <c:strRef>
              <c:f>Sheet1!$B$1</c:f>
              <c:strCache>
                <c:ptCount val="1"/>
                <c:pt idx="0">
                  <c:v>数量</c:v>
                </c:pt>
              </c:strCache>
            </c:strRef>
          </c:tx>
          <c:spPr>
            <a:solidFill>
              <a:schemeClr val="accent1"/>
            </a:solidFill>
            <a:ln>
              <a:noFill/>
            </a:ln>
            <a:effectLst/>
          </c:spPr>
          <c:invertIfNegative val="0"/>
          <c:dLbls>
            <c:dLbl>
              <c:idx val="3"/>
              <c:layout>
                <c:manualLayout>
                  <c:x val="-2.4061597690086599E-3"/>
                  <c:y val="-3.29964941224994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9B-4673-898C-2CB319C43174}"/>
                </c:ext>
              </c:extLst>
            </c:dLbl>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S≥20</c:v>
                </c:pt>
                <c:pt idx="1">
                  <c:v>10≤S&lt;20</c:v>
                </c:pt>
                <c:pt idx="2">
                  <c:v>5≤S&lt;10</c:v>
                </c:pt>
                <c:pt idx="3">
                  <c:v>1≤S&lt;5</c:v>
                </c:pt>
                <c:pt idx="4">
                  <c:v>S&lt;1</c:v>
                </c:pt>
              </c:strCache>
            </c:strRef>
          </c:cat>
          <c:val>
            <c:numRef>
              <c:f>Sheet1!$B$2:$B$6</c:f>
              <c:numCache>
                <c:formatCode>General</c:formatCode>
                <c:ptCount val="5"/>
                <c:pt idx="0">
                  <c:v>12</c:v>
                </c:pt>
                <c:pt idx="1">
                  <c:v>31</c:v>
                </c:pt>
                <c:pt idx="2">
                  <c:v>75</c:v>
                </c:pt>
                <c:pt idx="3">
                  <c:v>207</c:v>
                </c:pt>
                <c:pt idx="4">
                  <c:v>640</c:v>
                </c:pt>
              </c:numCache>
            </c:numRef>
          </c:val>
          <c:extLst>
            <c:ext xmlns:c16="http://schemas.microsoft.com/office/drawing/2014/chart" uri="{C3380CC4-5D6E-409C-BE32-E72D297353CC}">
              <c16:uniqueId val="{00000001-019B-4673-898C-2CB319C43174}"/>
            </c:ext>
          </c:extLst>
        </c:ser>
        <c:dLbls>
          <c:showLegendKey val="0"/>
          <c:showVal val="1"/>
          <c:showCatName val="0"/>
          <c:showSerName val="0"/>
          <c:showPercent val="0"/>
          <c:showBubbleSize val="0"/>
        </c:dLbls>
        <c:gapWidth val="219"/>
        <c:axId val="724159136"/>
        <c:axId val="724162088"/>
      </c:barChart>
      <c:lineChart>
        <c:grouping val="standard"/>
        <c:varyColors val="0"/>
        <c:ser>
          <c:idx val="1"/>
          <c:order val="1"/>
          <c:tx>
            <c:strRef>
              <c:f>Sheet1!$C$1</c:f>
              <c:strCache>
                <c:ptCount val="1"/>
                <c:pt idx="0">
                  <c:v>数量占比</c:v>
                </c:pt>
              </c:strCache>
            </c:strRef>
          </c:tx>
          <c:spPr>
            <a:ln w="28575" cap="rnd">
              <a:solidFill>
                <a:schemeClr val="accent2"/>
              </a:solidFill>
              <a:round/>
            </a:ln>
            <a:effectLst/>
          </c:spPr>
          <c:marker>
            <c:symbol val="none"/>
          </c:marker>
          <c:dLbls>
            <c:dLbl>
              <c:idx val="0"/>
              <c:layout>
                <c:manualLayout>
                  <c:x val="-3.6092396535130002E-2"/>
                  <c:y val="-0.107238605898122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9B-4673-898C-2CB319C43174}"/>
                </c:ext>
              </c:extLst>
            </c:dLbl>
            <c:dLbl>
              <c:idx val="1"/>
              <c:layout>
                <c:manualLayout>
                  <c:x val="-3.6092396535129898E-2"/>
                  <c:y val="-9.07403588368736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9B-4673-898C-2CB319C43174}"/>
                </c:ext>
              </c:extLst>
            </c:dLbl>
            <c:dLbl>
              <c:idx val="2"/>
              <c:layout>
                <c:manualLayout>
                  <c:x val="-2.1655437921078002E-2"/>
                  <c:y val="-0.10311404413281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9B-4673-898C-2CB319C43174}"/>
                </c:ext>
              </c:extLst>
            </c:dLbl>
            <c:dLbl>
              <c:idx val="3"/>
              <c:layout>
                <c:manualLayout>
                  <c:x val="-4.5717035611164698E-2"/>
                  <c:y val="-0.1443596617859350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9B-4673-898C-2CB319C43174}"/>
                </c:ext>
              </c:extLst>
            </c:dLbl>
            <c:dLbl>
              <c:idx val="4"/>
              <c:layout>
                <c:manualLayout>
                  <c:x val="-0.101058710298364"/>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9B-4673-898C-2CB319C43174}"/>
                </c:ext>
              </c:extLst>
            </c:dLbl>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rgbClr val="C00000"/>
                    </a:solidFill>
                    <a:latin typeface="Times New Roman" panose="02020603050405020304" charset="0"/>
                    <a:ea typeface="+mn-ea"/>
                    <a:cs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S≥20</c:v>
                </c:pt>
                <c:pt idx="1">
                  <c:v>10≤S&lt;20</c:v>
                </c:pt>
                <c:pt idx="2">
                  <c:v>5≤S&lt;10</c:v>
                </c:pt>
                <c:pt idx="3">
                  <c:v>1≤S&lt;5</c:v>
                </c:pt>
                <c:pt idx="4">
                  <c:v>S&lt;1</c:v>
                </c:pt>
              </c:strCache>
            </c:strRef>
          </c:cat>
          <c:val>
            <c:numRef>
              <c:f>Sheet1!$C$2:$C$6</c:f>
              <c:numCache>
                <c:formatCode>General</c:formatCode>
                <c:ptCount val="5"/>
                <c:pt idx="0">
                  <c:v>1.24</c:v>
                </c:pt>
                <c:pt idx="1">
                  <c:v>3.21</c:v>
                </c:pt>
                <c:pt idx="2">
                  <c:v>7.77</c:v>
                </c:pt>
                <c:pt idx="3">
                  <c:v>21.45</c:v>
                </c:pt>
                <c:pt idx="4">
                  <c:v>66.319999999999993</c:v>
                </c:pt>
              </c:numCache>
            </c:numRef>
          </c:val>
          <c:smooth val="0"/>
          <c:extLst>
            <c:ext xmlns:c16="http://schemas.microsoft.com/office/drawing/2014/chart" uri="{C3380CC4-5D6E-409C-BE32-E72D297353CC}">
              <c16:uniqueId val="{00000007-019B-4673-898C-2CB319C43174}"/>
            </c:ext>
          </c:extLst>
        </c:ser>
        <c:dLbls>
          <c:showLegendKey val="0"/>
          <c:showVal val="1"/>
          <c:showCatName val="0"/>
          <c:showSerName val="0"/>
          <c:showPercent val="0"/>
          <c:showBubbleSize val="0"/>
        </c:dLbls>
        <c:marker val="1"/>
        <c:smooth val="0"/>
        <c:axId val="725879120"/>
        <c:axId val="725863048"/>
      </c:lineChart>
      <c:catAx>
        <c:axId val="724159136"/>
        <c:scaling>
          <c:orientation val="minMax"/>
        </c:scaling>
        <c:delete val="0"/>
        <c:axPos val="b"/>
        <c:title>
          <c:tx>
            <c:rich>
              <a:bodyPr rot="0" spcFirstLastPara="1" vertOverflow="ellipsis" vert="horz" wrap="square" anchor="ctr" anchorCtr="1"/>
              <a:lstStyle/>
              <a:p>
                <a:pPr algn="ctr" rtl="0">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a:t>规模</a:t>
                </a:r>
                <a:r>
                  <a:rPr lang="zh-CN" altLang="en-US"/>
                  <a:t>（</a:t>
                </a:r>
                <a:r>
                  <a:rPr lang="zh-CN"/>
                  <a:t>万吨</a:t>
                </a:r>
                <a:r>
                  <a:rPr lang="en-US"/>
                  <a:t>/</a:t>
                </a:r>
                <a:r>
                  <a:rPr lang="zh-CN"/>
                  <a:t>天</a:t>
                </a:r>
                <a:r>
                  <a:rPr lang="zh-CN" altLang="en-US"/>
                  <a:t>）</a:t>
                </a:r>
                <a:endParaRPr lang="zh-CN"/>
              </a:p>
            </c:rich>
          </c:tx>
          <c:layout>
            <c:manualLayout>
              <c:xMode val="edge"/>
              <c:yMode val="edge"/>
              <c:x val="0.39675316065550897"/>
              <c:y val="0.869307839936865"/>
            </c:manualLayout>
          </c:layout>
          <c:overlay val="0"/>
          <c:spPr>
            <a:noFill/>
            <a:ln>
              <a:noFill/>
            </a:ln>
            <a:effectLst/>
          </c:spPr>
          <c:txPr>
            <a:bodyPr rot="0" spcFirstLastPara="1" vertOverflow="ellipsis" vert="horz" wrap="square" anchor="ctr" anchorCtr="1"/>
            <a:lstStyle/>
            <a:p>
              <a:pPr algn="ctr" rtl="0">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724162088"/>
        <c:crosses val="autoZero"/>
        <c:auto val="1"/>
        <c:lblAlgn val="ctr"/>
        <c:lblOffset val="100"/>
        <c:noMultiLvlLbl val="0"/>
      </c:catAx>
      <c:valAx>
        <c:axId val="724162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a:t>数量（座）</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title>
        <c:numFmt formatCode="General" sourceLinked="1"/>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724159136"/>
        <c:crosses val="autoZero"/>
        <c:crossBetween val="between"/>
      </c:valAx>
      <c:catAx>
        <c:axId val="725879120"/>
        <c:scaling>
          <c:orientation val="minMax"/>
        </c:scaling>
        <c:delete val="1"/>
        <c:axPos val="b"/>
        <c:numFmt formatCode="General" sourceLinked="1"/>
        <c:majorTickMark val="out"/>
        <c:minorTickMark val="none"/>
        <c:tickLblPos val="nextTo"/>
        <c:crossAx val="725863048"/>
        <c:crosses val="autoZero"/>
        <c:auto val="1"/>
        <c:lblAlgn val="ctr"/>
        <c:lblOffset val="100"/>
        <c:noMultiLvlLbl val="0"/>
      </c:catAx>
      <c:valAx>
        <c:axId val="725863048"/>
        <c:scaling>
          <c:orientation val="minMax"/>
        </c:scaling>
        <c:delete val="0"/>
        <c:axPos val="r"/>
        <c:title>
          <c:tx>
            <c:rich>
              <a:bodyPr rot="-54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a:t>数量占比（</a:t>
                </a:r>
                <a:r>
                  <a:rPr lang="en-US"/>
                  <a:t>%</a:t>
                </a:r>
                <a:r>
                  <a:rPr lang="zh-CN"/>
                  <a:t>）</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title>
        <c:numFmt formatCode="General" sourceLinked="1"/>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900" b="0" i="0" u="none" strike="noStrike" kern="1200" baseline="0">
                <a:solidFill>
                  <a:srgbClr val="C00000"/>
                </a:solidFill>
                <a:latin typeface="Times New Roman" panose="02020603050405020304" charset="0"/>
                <a:ea typeface="+mn-ea"/>
                <a:cs typeface="Times New Roman" panose="02020603050405020304" charset="0"/>
              </a:defRPr>
            </a:pPr>
            <a:endParaRPr lang="zh-CN"/>
          </a:p>
        </c:txPr>
        <c:crossAx val="725879120"/>
        <c:crosses val="max"/>
        <c:crossBetween val="between"/>
      </c:valAx>
      <c:spPr>
        <a:noFill/>
        <a:ln>
          <a:noFill/>
        </a:ln>
        <a:effectLst/>
      </c:spPr>
    </c:plotArea>
    <c:legend>
      <c:legendPos val="r"/>
      <c:layout>
        <c:manualLayout>
          <c:xMode val="edge"/>
          <c:yMode val="edge"/>
          <c:x val="0.127538403825605"/>
          <c:y val="9.0533481211322098E-2"/>
          <c:w val="0.410478920524732"/>
          <c:h val="0.1392049338852240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solidFill>
            <a:schemeClr val="tx1"/>
          </a:solidFill>
          <a:latin typeface="Times New Roman" panose="02020603050405020304" charset="0"/>
          <a:ea typeface="+mn-ea"/>
          <a:cs typeface="Times New Roman" panose="02020603050405020304" charset="0"/>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7688495146"/>
          <c:y val="2.14477211796247E-2"/>
          <c:w val="0.76780975044144495"/>
          <c:h val="0.78027062971016004"/>
        </c:manualLayout>
      </c:layout>
      <c:barChart>
        <c:barDir val="col"/>
        <c:grouping val="clustered"/>
        <c:varyColors val="0"/>
        <c:ser>
          <c:idx val="0"/>
          <c:order val="0"/>
          <c:tx>
            <c:strRef>
              <c:f>Sheet1!$B$1</c:f>
              <c:strCache>
                <c:ptCount val="1"/>
                <c:pt idx="0">
                  <c:v>合计设计规模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S≥20</c:v>
                </c:pt>
                <c:pt idx="1">
                  <c:v>10≤S&lt;20</c:v>
                </c:pt>
                <c:pt idx="2">
                  <c:v>5≤S&lt;10</c:v>
                </c:pt>
                <c:pt idx="3">
                  <c:v>1≤S&lt;5</c:v>
                </c:pt>
                <c:pt idx="4">
                  <c:v>S&lt;1</c:v>
                </c:pt>
              </c:strCache>
            </c:strRef>
          </c:cat>
          <c:val>
            <c:numRef>
              <c:f>Sheet1!$B$2:$B$6</c:f>
              <c:numCache>
                <c:formatCode>General</c:formatCode>
                <c:ptCount val="5"/>
                <c:pt idx="0">
                  <c:v>313.8</c:v>
                </c:pt>
                <c:pt idx="1">
                  <c:v>387</c:v>
                </c:pt>
                <c:pt idx="2">
                  <c:v>491.95</c:v>
                </c:pt>
                <c:pt idx="3">
                  <c:v>486</c:v>
                </c:pt>
                <c:pt idx="4">
                  <c:v>157.63999999999999</c:v>
                </c:pt>
              </c:numCache>
            </c:numRef>
          </c:val>
          <c:extLst>
            <c:ext xmlns:c16="http://schemas.microsoft.com/office/drawing/2014/chart" uri="{C3380CC4-5D6E-409C-BE32-E72D297353CC}">
              <c16:uniqueId val="{00000000-FC96-4FA6-9CC8-5F3A7A2E1D63}"/>
            </c:ext>
          </c:extLst>
        </c:ser>
        <c:dLbls>
          <c:showLegendKey val="0"/>
          <c:showVal val="1"/>
          <c:showCatName val="0"/>
          <c:showSerName val="0"/>
          <c:showPercent val="0"/>
          <c:showBubbleSize val="0"/>
        </c:dLbls>
        <c:gapWidth val="219"/>
        <c:overlap val="-27"/>
        <c:axId val="588499840"/>
        <c:axId val="588507712"/>
      </c:barChart>
      <c:lineChart>
        <c:grouping val="standard"/>
        <c:varyColors val="0"/>
        <c:ser>
          <c:idx val="1"/>
          <c:order val="1"/>
          <c:tx>
            <c:strRef>
              <c:f>Sheet1!$C$1</c:f>
              <c:strCache>
                <c:ptCount val="1"/>
                <c:pt idx="0">
                  <c:v>设计规模占比</c:v>
                </c:pt>
              </c:strCache>
            </c:strRef>
          </c:tx>
          <c:spPr>
            <a:ln w="28575" cap="rnd">
              <a:solidFill>
                <a:schemeClr val="accent2"/>
              </a:solidFill>
              <a:round/>
            </a:ln>
            <a:effectLst/>
          </c:spPr>
          <c:marker>
            <c:symbol val="none"/>
          </c:marker>
          <c:dLbls>
            <c:dLbl>
              <c:idx val="0"/>
              <c:layout>
                <c:manualLayout>
                  <c:x val="-4.3310875842155899E-2"/>
                  <c:y val="-8.24912353062487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96-4FA6-9CC8-5F3A7A2E1D63}"/>
                </c:ext>
              </c:extLst>
            </c:dLbl>
            <c:dLbl>
              <c:idx val="1"/>
              <c:layout>
                <c:manualLayout>
                  <c:x val="-4.0904716073147197E-2"/>
                  <c:y val="-7.42421117756238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96-4FA6-9CC8-5F3A7A2E1D63}"/>
                </c:ext>
              </c:extLst>
            </c:dLbl>
            <c:dLbl>
              <c:idx val="2"/>
              <c:layout>
                <c:manualLayout>
                  <c:x val="-5.0529355149181998E-2"/>
                  <c:y val="-6.186842647968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96-4FA6-9CC8-5F3A7A2E1D63}"/>
                </c:ext>
              </c:extLst>
            </c:dLbl>
            <c:dLbl>
              <c:idx val="3"/>
              <c:layout>
                <c:manualLayout>
                  <c:x val="-4.8123195380173303E-2"/>
                  <c:y val="-7.42421117756238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96-4FA6-9CC8-5F3A7A2E1D63}"/>
                </c:ext>
              </c:extLst>
            </c:dLbl>
            <c:dLbl>
              <c:idx val="4"/>
              <c:layout>
                <c:manualLayout>
                  <c:x val="-1.65380374862183E-2"/>
                  <c:y val="-3.7593984962405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96-4FA6-9CC8-5F3A7A2E1D63}"/>
                </c:ext>
              </c:extLst>
            </c:dLbl>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rgbClr val="C00000"/>
                    </a:solidFill>
                    <a:latin typeface="Times New Roman" panose="02020603050405020304" charset="0"/>
                    <a:ea typeface="+mn-ea"/>
                    <a:cs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S≥20</c:v>
                </c:pt>
                <c:pt idx="1">
                  <c:v>10≤S&lt;20</c:v>
                </c:pt>
                <c:pt idx="2">
                  <c:v>5≤S&lt;10</c:v>
                </c:pt>
                <c:pt idx="3">
                  <c:v>1≤S&lt;5</c:v>
                </c:pt>
                <c:pt idx="4">
                  <c:v>S&lt;1</c:v>
                </c:pt>
              </c:strCache>
            </c:strRef>
          </c:cat>
          <c:val>
            <c:numRef>
              <c:f>Sheet1!$C$2:$C$6</c:f>
              <c:numCache>
                <c:formatCode>General</c:formatCode>
                <c:ptCount val="5"/>
                <c:pt idx="0">
                  <c:v>16.39</c:v>
                </c:pt>
                <c:pt idx="1">
                  <c:v>20.190000000000001</c:v>
                </c:pt>
                <c:pt idx="2">
                  <c:v>25.69</c:v>
                </c:pt>
                <c:pt idx="3">
                  <c:v>25.38</c:v>
                </c:pt>
                <c:pt idx="4">
                  <c:v>12.34</c:v>
                </c:pt>
              </c:numCache>
            </c:numRef>
          </c:val>
          <c:smooth val="0"/>
          <c:extLst>
            <c:ext xmlns:c16="http://schemas.microsoft.com/office/drawing/2014/chart" uri="{C3380CC4-5D6E-409C-BE32-E72D297353CC}">
              <c16:uniqueId val="{00000006-FC96-4FA6-9CC8-5F3A7A2E1D63}"/>
            </c:ext>
          </c:extLst>
        </c:ser>
        <c:dLbls>
          <c:showLegendKey val="0"/>
          <c:showVal val="1"/>
          <c:showCatName val="0"/>
          <c:showSerName val="0"/>
          <c:showPercent val="0"/>
          <c:showBubbleSize val="0"/>
        </c:dLbls>
        <c:marker val="1"/>
        <c:smooth val="0"/>
        <c:axId val="588515584"/>
        <c:axId val="588510664"/>
      </c:lineChart>
      <c:catAx>
        <c:axId val="588499840"/>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a:t>规模</a:t>
                </a:r>
                <a:r>
                  <a:rPr lang="zh-CN" altLang="en-US"/>
                  <a:t>（</a:t>
                </a:r>
                <a:r>
                  <a:rPr lang="zh-CN"/>
                  <a:t>万吨</a:t>
                </a:r>
                <a:r>
                  <a:rPr lang="en-US"/>
                  <a:t>/</a:t>
                </a:r>
                <a:r>
                  <a:rPr lang="zh-CN"/>
                  <a:t>天</a:t>
                </a:r>
                <a:r>
                  <a:rPr lang="zh-CN" altLang="en-US"/>
                  <a:t>）</a:t>
                </a:r>
                <a:endParaRPr lang="zh-CN"/>
              </a:p>
            </c:rich>
          </c:tx>
          <c:layout>
            <c:manualLayout>
              <c:xMode val="edge"/>
              <c:yMode val="edge"/>
              <c:x val="0.42384504331087602"/>
              <c:y val="0.91802384776145096"/>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588507712"/>
        <c:crosses val="autoZero"/>
        <c:auto val="1"/>
        <c:lblAlgn val="ctr"/>
        <c:lblOffset val="100"/>
        <c:noMultiLvlLbl val="0"/>
      </c:catAx>
      <c:valAx>
        <c:axId val="58850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solidFill>
                    <a:latin typeface="宋体" panose="02010600030101010101" charset="-122"/>
                    <a:ea typeface="宋体" panose="02010600030101010101" charset="-122"/>
                    <a:cs typeface="Times New Roman" panose="02020603050405020304" charset="0"/>
                  </a:defRPr>
                </a:pPr>
                <a:r>
                  <a:rPr lang="zh-CN">
                    <a:latin typeface="宋体" panose="02010600030101010101" charset="-122"/>
                    <a:ea typeface="宋体" panose="02010600030101010101" charset="-122"/>
                  </a:rPr>
                  <a:t>处理量（万吨）</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solidFill>
                  <a:latin typeface="宋体" panose="02010600030101010101" charset="-122"/>
                  <a:ea typeface="宋体" panose="02010600030101010101" charset="-122"/>
                  <a:cs typeface="Times New Roman" panose="02020603050405020304" charset="0"/>
                </a:defRPr>
              </a:pPr>
              <a:endParaRPr lang="zh-CN"/>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588499840"/>
        <c:crosses val="autoZero"/>
        <c:crossBetween val="between"/>
      </c:valAx>
      <c:catAx>
        <c:axId val="588515584"/>
        <c:scaling>
          <c:orientation val="minMax"/>
        </c:scaling>
        <c:delete val="1"/>
        <c:axPos val="b"/>
        <c:numFmt formatCode="General" sourceLinked="1"/>
        <c:majorTickMark val="out"/>
        <c:minorTickMark val="none"/>
        <c:tickLblPos val="nextTo"/>
        <c:crossAx val="588510664"/>
        <c:crosses val="autoZero"/>
        <c:auto val="1"/>
        <c:lblAlgn val="ctr"/>
        <c:lblOffset val="100"/>
        <c:noMultiLvlLbl val="0"/>
      </c:catAx>
      <c:valAx>
        <c:axId val="588510664"/>
        <c:scaling>
          <c:orientation val="minMax"/>
        </c:scaling>
        <c:delete val="0"/>
        <c:axPos val="r"/>
        <c:title>
          <c:tx>
            <c:rich>
              <a:bodyPr rot="-54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a:t>数量占比（</a:t>
                </a:r>
                <a:r>
                  <a:rPr lang="en-US"/>
                  <a:t>%</a:t>
                </a:r>
                <a:r>
                  <a:rPr lang="zh-CN"/>
                  <a:t>）</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title>
        <c:numFmt formatCode="General" sourceLinked="1"/>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900" b="0" i="0" u="none" strike="noStrike" kern="1200" baseline="0">
                <a:solidFill>
                  <a:srgbClr val="C00000"/>
                </a:solidFill>
                <a:latin typeface="Times New Roman" panose="02020603050405020304" charset="0"/>
                <a:ea typeface="+mn-ea"/>
                <a:cs typeface="Times New Roman" panose="02020603050405020304" charset="0"/>
              </a:defRPr>
            </a:pPr>
            <a:endParaRPr lang="zh-CN"/>
          </a:p>
        </c:txPr>
        <c:crossAx val="588515584"/>
        <c:crosses val="max"/>
        <c:crossBetween val="between"/>
      </c:valAx>
      <c:spPr>
        <a:noFill/>
        <a:ln>
          <a:noFill/>
        </a:ln>
        <a:effectLst/>
      </c:spPr>
    </c:plotArea>
    <c:legend>
      <c:legendPos val="r"/>
      <c:layout>
        <c:manualLayout>
          <c:xMode val="edge"/>
          <c:yMode val="edge"/>
          <c:x val="0.134993446920052"/>
          <c:y val="3.4304067254751103E-2"/>
          <c:w val="0.24489795918367299"/>
          <c:h val="0.1369177939978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solidFill>
            <a:schemeClr val="tx1"/>
          </a:solidFill>
          <a:latin typeface="Times New Roman" panose="02020603050405020304" charset="0"/>
          <a:ea typeface="+mn-ea"/>
          <a:cs typeface="Times New Roman" panose="02020603050405020304" charset="0"/>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氧化沟</c:v>
                </c:pt>
                <c:pt idx="1">
                  <c:v>AAO工艺</c:v>
                </c:pt>
                <c:pt idx="2">
                  <c:v>传统活性污泥法</c:v>
                </c:pt>
                <c:pt idx="3">
                  <c:v>SBR</c:v>
                </c:pt>
                <c:pt idx="4">
                  <c:v>AO工艺</c:v>
                </c:pt>
                <c:pt idx="5">
                  <c:v>生物膜法</c:v>
                </c:pt>
                <c:pt idx="6">
                  <c:v>其他物理化学法</c:v>
                </c:pt>
                <c:pt idx="7">
                  <c:v>生物接触氧化法</c:v>
                </c:pt>
                <c:pt idx="8">
                  <c:v>普通生物滤池</c:v>
                </c:pt>
                <c:pt idx="9">
                  <c:v>沉淀分离</c:v>
                </c:pt>
              </c:strCache>
            </c:strRef>
          </c:cat>
          <c:val>
            <c:numRef>
              <c:f>Sheet1!$B$2:$B$11</c:f>
              <c:numCache>
                <c:formatCode>General</c:formatCode>
                <c:ptCount val="10"/>
                <c:pt idx="0">
                  <c:v>20</c:v>
                </c:pt>
                <c:pt idx="1">
                  <c:v>16.3</c:v>
                </c:pt>
                <c:pt idx="2">
                  <c:v>11.9</c:v>
                </c:pt>
                <c:pt idx="3">
                  <c:v>8.1999999999999993</c:v>
                </c:pt>
                <c:pt idx="4">
                  <c:v>3.8</c:v>
                </c:pt>
                <c:pt idx="5">
                  <c:v>2</c:v>
                </c:pt>
                <c:pt idx="6">
                  <c:v>1.7</c:v>
                </c:pt>
                <c:pt idx="7">
                  <c:v>1.7</c:v>
                </c:pt>
                <c:pt idx="8">
                  <c:v>1.2</c:v>
                </c:pt>
                <c:pt idx="9">
                  <c:v>0.8</c:v>
                </c:pt>
              </c:numCache>
            </c:numRef>
          </c:val>
          <c:extLst>
            <c:ext xmlns:c16="http://schemas.microsoft.com/office/drawing/2014/chart" uri="{C3380CC4-5D6E-409C-BE32-E72D297353CC}">
              <c16:uniqueId val="{00000000-097D-429E-8B5B-A4B99AED9FB6}"/>
            </c:ext>
          </c:extLst>
        </c:ser>
        <c:dLbls>
          <c:showLegendKey val="0"/>
          <c:showVal val="1"/>
          <c:showCatName val="0"/>
          <c:showSerName val="0"/>
          <c:showPercent val="0"/>
          <c:showBubbleSize val="0"/>
        </c:dLbls>
        <c:gapWidth val="219"/>
        <c:overlap val="-27"/>
        <c:axId val="598597320"/>
        <c:axId val="598601256"/>
      </c:barChart>
      <c:catAx>
        <c:axId val="598597320"/>
        <c:scaling>
          <c:orientation val="minMax"/>
        </c:scaling>
        <c:delete val="0"/>
        <c:axPos val="b"/>
        <c:title>
          <c:tx>
            <c:rich>
              <a:bodyPr rot="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zh-CN" altLang="en-US">
                    <a:solidFill>
                      <a:sysClr val="windowText" lastClr="000000"/>
                    </a:solidFill>
                  </a:rPr>
                  <a:t>污水处理工艺</a:t>
                </a:r>
                <a:endParaRPr lang="en-US" altLang="zh-CN">
                  <a:solidFill>
                    <a:sysClr val="windowText" lastClr="000000"/>
                  </a:solidFill>
                </a:endParaRPr>
              </a:p>
            </c:rich>
          </c:tx>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598601256"/>
        <c:crosses val="autoZero"/>
        <c:auto val="1"/>
        <c:lblAlgn val="ctr"/>
        <c:lblOffset val="100"/>
        <c:noMultiLvlLbl val="0"/>
      </c:catAx>
      <c:valAx>
        <c:axId val="598601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ltLang="en-US">
                    <a:solidFill>
                      <a:sysClr val="windowText" lastClr="000000"/>
                    </a:solidFill>
                    <a:latin typeface="Times New Roman" panose="02020603050405020304" charset="0"/>
                    <a:ea typeface="+mn-ea"/>
                    <a:cs typeface="Times New Roman" panose="02020603050405020304" charset="0"/>
                  </a:rPr>
                  <a:t>数量占比（</a:t>
                </a:r>
                <a:r>
                  <a:rPr lang="en-US" altLang="zh-CN">
                    <a:solidFill>
                      <a:sysClr val="windowText" lastClr="000000"/>
                    </a:solidFill>
                    <a:latin typeface="Times New Roman" panose="02020603050405020304" charset="0"/>
                    <a:ea typeface="+mn-ea"/>
                    <a:cs typeface="Times New Roman" panose="02020603050405020304" charset="0"/>
                  </a:rPr>
                  <a:t>%</a:t>
                </a:r>
                <a:r>
                  <a:rPr lang="zh-CN" altLang="en-US">
                    <a:solidFill>
                      <a:sysClr val="windowText" lastClr="000000"/>
                    </a:solidFill>
                    <a:latin typeface="Times New Roman" panose="02020603050405020304" charset="0"/>
                    <a:ea typeface="+mn-ea"/>
                    <a:cs typeface="Times New Roman" panose="02020603050405020304" charset="0"/>
                  </a:rPr>
                  <a:t>）</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zh-CN"/>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zh-CN"/>
          </a:p>
        </c:txPr>
        <c:crossAx val="598597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685144789445102E-2"/>
          <c:y val="4.5370179418436803E-2"/>
          <c:w val="0.81929067848554804"/>
          <c:h val="0.63710837598084702"/>
        </c:manualLayout>
      </c:layout>
      <c:barChart>
        <c:barDir val="col"/>
        <c:grouping val="clustered"/>
        <c:varyColors val="0"/>
        <c:ser>
          <c:idx val="0"/>
          <c:order val="0"/>
          <c:tx>
            <c:strRef>
              <c:f>Sheet1!$B$1</c:f>
              <c:strCache>
                <c:ptCount val="1"/>
                <c:pt idx="0">
                  <c:v>数量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ln>
                      <a:noFill/>
                    </a:ln>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AAO</c:v>
                </c:pt>
                <c:pt idx="1">
                  <c:v>AO</c:v>
                </c:pt>
                <c:pt idx="2">
                  <c:v>氧化沟</c:v>
                </c:pt>
                <c:pt idx="3">
                  <c:v>生物转盘</c:v>
                </c:pt>
                <c:pt idx="4">
                  <c:v>SBR</c:v>
                </c:pt>
                <c:pt idx="5">
                  <c:v>MBR</c:v>
                </c:pt>
                <c:pt idx="6">
                  <c:v>CASS</c:v>
                </c:pt>
                <c:pt idx="7">
                  <c:v>传统活性污泥法</c:v>
                </c:pt>
                <c:pt idx="8">
                  <c:v>生物滤池</c:v>
                </c:pt>
                <c:pt idx="9">
                  <c:v>生物接触氧化法</c:v>
                </c:pt>
                <c:pt idx="10">
                  <c:v>物理处理法</c:v>
                </c:pt>
                <c:pt idx="11">
                  <c:v>厌氧生物处理法</c:v>
                </c:pt>
                <c:pt idx="12">
                  <c:v>AOO</c:v>
                </c:pt>
                <c:pt idx="13">
                  <c:v>CAST</c:v>
                </c:pt>
                <c:pt idx="14">
                  <c:v>沉淀分离</c:v>
                </c:pt>
                <c:pt idx="15">
                  <c:v>人工湿地及土地处理法</c:v>
                </c:pt>
                <c:pt idx="16">
                  <c:v>过滤分离</c:v>
                </c:pt>
                <c:pt idx="17">
                  <c:v>好氧化塘</c:v>
                </c:pt>
                <c:pt idx="18">
                  <c:v>好氧生物处理法</c:v>
                </c:pt>
                <c:pt idx="19">
                  <c:v>物理化学处理法</c:v>
                </c:pt>
                <c:pt idx="20">
                  <c:v>厌氧塘</c:v>
                </c:pt>
                <c:pt idx="21">
                  <c:v>AMON</c:v>
                </c:pt>
                <c:pt idx="22">
                  <c:v>MBBR</c:v>
                </c:pt>
                <c:pt idx="23">
                  <c:v>曝气塘</c:v>
                </c:pt>
                <c:pt idx="24">
                  <c:v>土地渗滤</c:v>
                </c:pt>
                <c:pt idx="25">
                  <c:v>厌氧水解类</c:v>
                </c:pt>
                <c:pt idx="26">
                  <c:v>其他</c:v>
                </c:pt>
              </c:strCache>
            </c:strRef>
          </c:cat>
          <c:val>
            <c:numRef>
              <c:f>Sheet1!$B$2:$B$28</c:f>
              <c:numCache>
                <c:formatCode>General</c:formatCode>
                <c:ptCount val="27"/>
                <c:pt idx="0">
                  <c:v>484</c:v>
                </c:pt>
                <c:pt idx="1">
                  <c:v>87</c:v>
                </c:pt>
                <c:pt idx="2">
                  <c:v>51</c:v>
                </c:pt>
                <c:pt idx="3">
                  <c:v>42</c:v>
                </c:pt>
                <c:pt idx="4">
                  <c:v>30</c:v>
                </c:pt>
                <c:pt idx="5">
                  <c:v>25</c:v>
                </c:pt>
                <c:pt idx="6">
                  <c:v>12</c:v>
                </c:pt>
                <c:pt idx="7">
                  <c:v>12</c:v>
                </c:pt>
                <c:pt idx="8">
                  <c:v>11</c:v>
                </c:pt>
                <c:pt idx="9">
                  <c:v>10</c:v>
                </c:pt>
                <c:pt idx="10">
                  <c:v>9</c:v>
                </c:pt>
                <c:pt idx="11">
                  <c:v>9</c:v>
                </c:pt>
                <c:pt idx="12">
                  <c:v>8</c:v>
                </c:pt>
                <c:pt idx="13">
                  <c:v>6</c:v>
                </c:pt>
                <c:pt idx="14">
                  <c:v>4</c:v>
                </c:pt>
                <c:pt idx="15">
                  <c:v>4</c:v>
                </c:pt>
                <c:pt idx="16">
                  <c:v>3</c:v>
                </c:pt>
                <c:pt idx="17">
                  <c:v>3</c:v>
                </c:pt>
                <c:pt idx="18">
                  <c:v>3</c:v>
                </c:pt>
                <c:pt idx="19">
                  <c:v>2</c:v>
                </c:pt>
                <c:pt idx="20">
                  <c:v>1</c:v>
                </c:pt>
                <c:pt idx="21">
                  <c:v>1</c:v>
                </c:pt>
                <c:pt idx="22">
                  <c:v>1</c:v>
                </c:pt>
                <c:pt idx="23">
                  <c:v>1</c:v>
                </c:pt>
                <c:pt idx="24">
                  <c:v>1</c:v>
                </c:pt>
                <c:pt idx="25">
                  <c:v>1</c:v>
                </c:pt>
                <c:pt idx="26">
                  <c:v>1</c:v>
                </c:pt>
              </c:numCache>
            </c:numRef>
          </c:val>
          <c:extLst>
            <c:ext xmlns:c16="http://schemas.microsoft.com/office/drawing/2014/chart" uri="{C3380CC4-5D6E-409C-BE32-E72D297353CC}">
              <c16:uniqueId val="{00000000-2A39-4244-8E32-B809CA080D76}"/>
            </c:ext>
          </c:extLst>
        </c:ser>
        <c:dLbls>
          <c:showLegendKey val="0"/>
          <c:showVal val="1"/>
          <c:showCatName val="0"/>
          <c:showSerName val="0"/>
          <c:showPercent val="0"/>
          <c:showBubbleSize val="0"/>
        </c:dLbls>
        <c:gapWidth val="219"/>
        <c:overlap val="-27"/>
        <c:axId val="598615360"/>
        <c:axId val="598615688"/>
      </c:barChart>
      <c:lineChart>
        <c:grouping val="standard"/>
        <c:varyColors val="0"/>
        <c:ser>
          <c:idx val="1"/>
          <c:order val="1"/>
          <c:tx>
            <c:strRef>
              <c:f>Sheet1!$C$1</c:f>
              <c:strCache>
                <c:ptCount val="1"/>
                <c:pt idx="0">
                  <c:v>占比</c:v>
                </c:pt>
              </c:strCache>
            </c:strRef>
          </c:tx>
          <c:spPr>
            <a:ln w="9525" cap="rnd">
              <a:solidFill>
                <a:schemeClr val="accent2"/>
              </a:solidFill>
              <a:round/>
            </a:ln>
            <a:effectLst/>
          </c:spPr>
          <c:marker>
            <c:symbol val="none"/>
          </c:marker>
          <c:dLbls>
            <c:dLbl>
              <c:idx val="1"/>
              <c:layout>
                <c:manualLayout>
                  <c:x val="8.6206896551723703E-3"/>
                  <c:y val="-0.12452438602559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39-4244-8E32-B809CA080D76}"/>
                </c:ext>
              </c:extLst>
            </c:dLbl>
            <c:dLbl>
              <c:idx val="2"/>
              <c:layout>
                <c:manualLayout>
                  <c:x val="-1.2002451789335201E-3"/>
                  <c:y val="-0.1037703216879970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39-4244-8E32-B809CA080D76}"/>
                </c:ext>
              </c:extLst>
            </c:dLbl>
            <c:dLbl>
              <c:idx val="3"/>
              <c:layout>
                <c:manualLayout>
                  <c:x val="-2.2762223584327401E-2"/>
                  <c:y val="-7.26392251815981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39-4244-8E32-B809CA080D76}"/>
                </c:ext>
              </c:extLst>
            </c:dLbl>
            <c:dLbl>
              <c:idx val="4"/>
              <c:layout>
                <c:manualLayout>
                  <c:x val="2.80172413793103E-2"/>
                  <c:y val="-0.134901418194395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39-4244-8E32-B809CA080D76}"/>
                </c:ext>
              </c:extLst>
            </c:dLbl>
            <c:dLbl>
              <c:idx val="5"/>
              <c:layout>
                <c:manualLayout>
                  <c:x val="3.4482758620689703E-2"/>
                  <c:y val="-8.6475268073331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39-4244-8E32-B809CA080D76}"/>
                </c:ext>
              </c:extLst>
            </c:dLbl>
            <c:dLbl>
              <c:idx val="6"/>
              <c:delete val="1"/>
              <c:extLst>
                <c:ext xmlns:c15="http://schemas.microsoft.com/office/drawing/2012/chart" uri="{CE6537A1-D6FC-4f65-9D91-7224C49458BB}"/>
                <c:ext xmlns:c16="http://schemas.microsoft.com/office/drawing/2014/chart" uri="{C3380CC4-5D6E-409C-BE32-E72D297353CC}">
                  <c16:uniqueId val="{00000006-2A39-4244-8E32-B809CA080D76}"/>
                </c:ext>
              </c:extLst>
            </c:dLbl>
            <c:dLbl>
              <c:idx val="7"/>
              <c:delete val="1"/>
              <c:extLst>
                <c:ext xmlns:c15="http://schemas.microsoft.com/office/drawing/2012/chart" uri="{CE6537A1-D6FC-4f65-9D91-7224C49458BB}"/>
                <c:ext xmlns:c16="http://schemas.microsoft.com/office/drawing/2014/chart" uri="{C3380CC4-5D6E-409C-BE32-E72D297353CC}">
                  <c16:uniqueId val="{00000007-2A39-4244-8E32-B809CA080D76}"/>
                </c:ext>
              </c:extLst>
            </c:dLbl>
            <c:dLbl>
              <c:idx val="8"/>
              <c:delete val="1"/>
              <c:extLst>
                <c:ext xmlns:c15="http://schemas.microsoft.com/office/drawing/2012/chart" uri="{CE6537A1-D6FC-4f65-9D91-7224C49458BB}"/>
                <c:ext xmlns:c16="http://schemas.microsoft.com/office/drawing/2014/chart" uri="{C3380CC4-5D6E-409C-BE32-E72D297353CC}">
                  <c16:uniqueId val="{00000008-2A39-4244-8E32-B809CA080D76}"/>
                </c:ext>
              </c:extLst>
            </c:dLbl>
            <c:dLbl>
              <c:idx val="9"/>
              <c:delete val="1"/>
              <c:extLst>
                <c:ext xmlns:c15="http://schemas.microsoft.com/office/drawing/2012/chart" uri="{CE6537A1-D6FC-4f65-9D91-7224C49458BB}"/>
                <c:ext xmlns:c16="http://schemas.microsoft.com/office/drawing/2014/chart" uri="{C3380CC4-5D6E-409C-BE32-E72D297353CC}">
                  <c16:uniqueId val="{00000009-2A39-4244-8E32-B809CA080D76}"/>
                </c:ext>
              </c:extLst>
            </c:dLbl>
            <c:dLbl>
              <c:idx val="10"/>
              <c:delete val="1"/>
              <c:extLst>
                <c:ext xmlns:c15="http://schemas.microsoft.com/office/drawing/2012/chart" uri="{CE6537A1-D6FC-4f65-9D91-7224C49458BB}"/>
                <c:ext xmlns:c16="http://schemas.microsoft.com/office/drawing/2014/chart" uri="{C3380CC4-5D6E-409C-BE32-E72D297353CC}">
                  <c16:uniqueId val="{0000000A-2A39-4244-8E32-B809CA080D76}"/>
                </c:ext>
              </c:extLst>
            </c:dLbl>
            <c:dLbl>
              <c:idx val="11"/>
              <c:delete val="1"/>
              <c:extLst>
                <c:ext xmlns:c15="http://schemas.microsoft.com/office/drawing/2012/chart" uri="{CE6537A1-D6FC-4f65-9D91-7224C49458BB}"/>
                <c:ext xmlns:c16="http://schemas.microsoft.com/office/drawing/2014/chart" uri="{C3380CC4-5D6E-409C-BE32-E72D297353CC}">
                  <c16:uniqueId val="{0000000B-2A39-4244-8E32-B809CA080D76}"/>
                </c:ext>
              </c:extLst>
            </c:dLbl>
            <c:dLbl>
              <c:idx val="12"/>
              <c:delete val="1"/>
              <c:extLst>
                <c:ext xmlns:c15="http://schemas.microsoft.com/office/drawing/2012/chart" uri="{CE6537A1-D6FC-4f65-9D91-7224C49458BB}"/>
                <c:ext xmlns:c16="http://schemas.microsoft.com/office/drawing/2014/chart" uri="{C3380CC4-5D6E-409C-BE32-E72D297353CC}">
                  <c16:uniqueId val="{0000000C-2A39-4244-8E32-B809CA080D76}"/>
                </c:ext>
              </c:extLst>
            </c:dLbl>
            <c:dLbl>
              <c:idx val="13"/>
              <c:delete val="1"/>
              <c:extLst>
                <c:ext xmlns:c15="http://schemas.microsoft.com/office/drawing/2012/chart" uri="{CE6537A1-D6FC-4f65-9D91-7224C49458BB}"/>
                <c:ext xmlns:c16="http://schemas.microsoft.com/office/drawing/2014/chart" uri="{C3380CC4-5D6E-409C-BE32-E72D297353CC}">
                  <c16:uniqueId val="{0000000D-2A39-4244-8E32-B809CA080D76}"/>
                </c:ext>
              </c:extLst>
            </c:dLbl>
            <c:dLbl>
              <c:idx val="14"/>
              <c:delete val="1"/>
              <c:extLst>
                <c:ext xmlns:c15="http://schemas.microsoft.com/office/drawing/2012/chart" uri="{CE6537A1-D6FC-4f65-9D91-7224C49458BB}"/>
                <c:ext xmlns:c16="http://schemas.microsoft.com/office/drawing/2014/chart" uri="{C3380CC4-5D6E-409C-BE32-E72D297353CC}">
                  <c16:uniqueId val="{0000000E-2A39-4244-8E32-B809CA080D76}"/>
                </c:ext>
              </c:extLst>
            </c:dLbl>
            <c:dLbl>
              <c:idx val="15"/>
              <c:delete val="1"/>
              <c:extLst>
                <c:ext xmlns:c15="http://schemas.microsoft.com/office/drawing/2012/chart" uri="{CE6537A1-D6FC-4f65-9D91-7224C49458BB}"/>
                <c:ext xmlns:c16="http://schemas.microsoft.com/office/drawing/2014/chart" uri="{C3380CC4-5D6E-409C-BE32-E72D297353CC}">
                  <c16:uniqueId val="{0000000F-2A39-4244-8E32-B809CA080D76}"/>
                </c:ext>
              </c:extLst>
            </c:dLbl>
            <c:dLbl>
              <c:idx val="16"/>
              <c:delete val="1"/>
              <c:extLst>
                <c:ext xmlns:c15="http://schemas.microsoft.com/office/drawing/2012/chart" uri="{CE6537A1-D6FC-4f65-9D91-7224C49458BB}"/>
                <c:ext xmlns:c16="http://schemas.microsoft.com/office/drawing/2014/chart" uri="{C3380CC4-5D6E-409C-BE32-E72D297353CC}">
                  <c16:uniqueId val="{00000010-2A39-4244-8E32-B809CA080D76}"/>
                </c:ext>
              </c:extLst>
            </c:dLbl>
            <c:dLbl>
              <c:idx val="17"/>
              <c:delete val="1"/>
              <c:extLst>
                <c:ext xmlns:c15="http://schemas.microsoft.com/office/drawing/2012/chart" uri="{CE6537A1-D6FC-4f65-9D91-7224C49458BB}"/>
                <c:ext xmlns:c16="http://schemas.microsoft.com/office/drawing/2014/chart" uri="{C3380CC4-5D6E-409C-BE32-E72D297353CC}">
                  <c16:uniqueId val="{00000011-2A39-4244-8E32-B809CA080D76}"/>
                </c:ext>
              </c:extLst>
            </c:dLbl>
            <c:dLbl>
              <c:idx val="18"/>
              <c:delete val="1"/>
              <c:extLst>
                <c:ext xmlns:c15="http://schemas.microsoft.com/office/drawing/2012/chart" uri="{CE6537A1-D6FC-4f65-9D91-7224C49458BB}"/>
                <c:ext xmlns:c16="http://schemas.microsoft.com/office/drawing/2014/chart" uri="{C3380CC4-5D6E-409C-BE32-E72D297353CC}">
                  <c16:uniqueId val="{00000012-2A39-4244-8E32-B809CA080D76}"/>
                </c:ext>
              </c:extLst>
            </c:dLbl>
            <c:dLbl>
              <c:idx val="19"/>
              <c:delete val="1"/>
              <c:extLst>
                <c:ext xmlns:c15="http://schemas.microsoft.com/office/drawing/2012/chart" uri="{CE6537A1-D6FC-4f65-9D91-7224C49458BB}"/>
                <c:ext xmlns:c16="http://schemas.microsoft.com/office/drawing/2014/chart" uri="{C3380CC4-5D6E-409C-BE32-E72D297353CC}">
                  <c16:uniqueId val="{00000013-2A39-4244-8E32-B809CA080D76}"/>
                </c:ext>
              </c:extLst>
            </c:dLbl>
            <c:dLbl>
              <c:idx val="20"/>
              <c:delete val="1"/>
              <c:extLst>
                <c:ext xmlns:c15="http://schemas.microsoft.com/office/drawing/2012/chart" uri="{CE6537A1-D6FC-4f65-9D91-7224C49458BB}"/>
                <c:ext xmlns:c16="http://schemas.microsoft.com/office/drawing/2014/chart" uri="{C3380CC4-5D6E-409C-BE32-E72D297353CC}">
                  <c16:uniqueId val="{00000014-2A39-4244-8E32-B809CA080D76}"/>
                </c:ext>
              </c:extLst>
            </c:dLbl>
            <c:dLbl>
              <c:idx val="21"/>
              <c:delete val="1"/>
              <c:extLst>
                <c:ext xmlns:c15="http://schemas.microsoft.com/office/drawing/2012/chart" uri="{CE6537A1-D6FC-4f65-9D91-7224C49458BB}"/>
                <c:ext xmlns:c16="http://schemas.microsoft.com/office/drawing/2014/chart" uri="{C3380CC4-5D6E-409C-BE32-E72D297353CC}">
                  <c16:uniqueId val="{00000015-2A39-4244-8E32-B809CA080D76}"/>
                </c:ext>
              </c:extLst>
            </c:dLbl>
            <c:dLbl>
              <c:idx val="22"/>
              <c:delete val="1"/>
              <c:extLst>
                <c:ext xmlns:c15="http://schemas.microsoft.com/office/drawing/2012/chart" uri="{CE6537A1-D6FC-4f65-9D91-7224C49458BB}"/>
                <c:ext xmlns:c16="http://schemas.microsoft.com/office/drawing/2014/chart" uri="{C3380CC4-5D6E-409C-BE32-E72D297353CC}">
                  <c16:uniqueId val="{00000016-2A39-4244-8E32-B809CA080D76}"/>
                </c:ext>
              </c:extLst>
            </c:dLbl>
            <c:dLbl>
              <c:idx val="23"/>
              <c:delete val="1"/>
              <c:extLst>
                <c:ext xmlns:c15="http://schemas.microsoft.com/office/drawing/2012/chart" uri="{CE6537A1-D6FC-4f65-9D91-7224C49458BB}"/>
                <c:ext xmlns:c16="http://schemas.microsoft.com/office/drawing/2014/chart" uri="{C3380CC4-5D6E-409C-BE32-E72D297353CC}">
                  <c16:uniqueId val="{00000017-2A39-4244-8E32-B809CA080D76}"/>
                </c:ext>
              </c:extLst>
            </c:dLbl>
            <c:dLbl>
              <c:idx val="24"/>
              <c:delete val="1"/>
              <c:extLst>
                <c:ext xmlns:c15="http://schemas.microsoft.com/office/drawing/2012/chart" uri="{CE6537A1-D6FC-4f65-9D91-7224C49458BB}"/>
                <c:ext xmlns:c16="http://schemas.microsoft.com/office/drawing/2014/chart" uri="{C3380CC4-5D6E-409C-BE32-E72D297353CC}">
                  <c16:uniqueId val="{00000018-2A39-4244-8E32-B809CA080D76}"/>
                </c:ext>
              </c:extLst>
            </c:dLbl>
            <c:dLbl>
              <c:idx val="25"/>
              <c:delete val="1"/>
              <c:extLst>
                <c:ext xmlns:c15="http://schemas.microsoft.com/office/drawing/2012/chart" uri="{CE6537A1-D6FC-4f65-9D91-7224C49458BB}"/>
                <c:ext xmlns:c16="http://schemas.microsoft.com/office/drawing/2014/chart" uri="{C3380CC4-5D6E-409C-BE32-E72D297353CC}">
                  <c16:uniqueId val="{00000019-2A39-4244-8E32-B809CA080D76}"/>
                </c:ext>
              </c:extLst>
            </c:dLbl>
            <c:dLbl>
              <c:idx val="26"/>
              <c:delete val="1"/>
              <c:extLst>
                <c:ext xmlns:c15="http://schemas.microsoft.com/office/drawing/2012/chart" uri="{CE6537A1-D6FC-4f65-9D91-7224C49458BB}"/>
                <c:ext xmlns:c16="http://schemas.microsoft.com/office/drawing/2014/chart" uri="{C3380CC4-5D6E-409C-BE32-E72D297353CC}">
                  <c16:uniqueId val="{0000001A-2A39-4244-8E32-B809CA080D76}"/>
                </c:ext>
              </c:extLst>
            </c:dLbl>
            <c:spPr>
              <a:noFill/>
              <a:ln>
                <a:noFill/>
              </a:ln>
              <a:effectLst/>
            </c:spPr>
            <c:txPr>
              <a:bodyPr rot="0" spcFirstLastPara="1" vertOverflow="ellipsis" vert="horz" wrap="square" lIns="38100" tIns="19050" rIns="38100" bIns="19050" anchor="ctr" anchorCtr="1"/>
              <a:lstStyle/>
              <a:p>
                <a:pPr>
                  <a:defRPr lang="zh-CN" sz="900" b="0" i="0" u="none" strike="noStrike" kern="1200" baseline="0">
                    <a:ln>
                      <a:noFill/>
                    </a:ln>
                    <a:solidFill>
                      <a:srgbClr val="C00000"/>
                    </a:solidFill>
                    <a:latin typeface="Times New Roman" panose="02020603050405020304" charset="0"/>
                    <a:ea typeface="+mn-ea"/>
                    <a:cs typeface="Times New Roman" panose="02020603050405020304" charset="0"/>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AAO</c:v>
                </c:pt>
                <c:pt idx="1">
                  <c:v>AO</c:v>
                </c:pt>
                <c:pt idx="2">
                  <c:v>氧化沟</c:v>
                </c:pt>
                <c:pt idx="3">
                  <c:v>生物转盘</c:v>
                </c:pt>
                <c:pt idx="4">
                  <c:v>SBR</c:v>
                </c:pt>
                <c:pt idx="5">
                  <c:v>MBR</c:v>
                </c:pt>
                <c:pt idx="6">
                  <c:v>CASS</c:v>
                </c:pt>
                <c:pt idx="7">
                  <c:v>传统活性污泥法</c:v>
                </c:pt>
                <c:pt idx="8">
                  <c:v>生物滤池</c:v>
                </c:pt>
                <c:pt idx="9">
                  <c:v>生物接触氧化法</c:v>
                </c:pt>
                <c:pt idx="10">
                  <c:v>物理处理法</c:v>
                </c:pt>
                <c:pt idx="11">
                  <c:v>厌氧生物处理法</c:v>
                </c:pt>
                <c:pt idx="12">
                  <c:v>AOO</c:v>
                </c:pt>
                <c:pt idx="13">
                  <c:v>CAST</c:v>
                </c:pt>
                <c:pt idx="14">
                  <c:v>沉淀分离</c:v>
                </c:pt>
                <c:pt idx="15">
                  <c:v>人工湿地及土地处理法</c:v>
                </c:pt>
                <c:pt idx="16">
                  <c:v>过滤分离</c:v>
                </c:pt>
                <c:pt idx="17">
                  <c:v>好氧化塘</c:v>
                </c:pt>
                <c:pt idx="18">
                  <c:v>好氧生物处理法</c:v>
                </c:pt>
                <c:pt idx="19">
                  <c:v>物理化学处理法</c:v>
                </c:pt>
                <c:pt idx="20">
                  <c:v>厌氧塘</c:v>
                </c:pt>
                <c:pt idx="21">
                  <c:v>AMON</c:v>
                </c:pt>
                <c:pt idx="22">
                  <c:v>MBBR</c:v>
                </c:pt>
                <c:pt idx="23">
                  <c:v>曝气塘</c:v>
                </c:pt>
                <c:pt idx="24">
                  <c:v>土地渗滤</c:v>
                </c:pt>
                <c:pt idx="25">
                  <c:v>厌氧水解类</c:v>
                </c:pt>
                <c:pt idx="26">
                  <c:v>其他</c:v>
                </c:pt>
              </c:strCache>
            </c:strRef>
          </c:cat>
          <c:val>
            <c:numRef>
              <c:f>Sheet1!$C$2:$C$28</c:f>
              <c:numCache>
                <c:formatCode>0.00_);[Red]\(0.00\)</c:formatCode>
                <c:ptCount val="27"/>
                <c:pt idx="0">
                  <c:v>58.880778599999999</c:v>
                </c:pt>
                <c:pt idx="1">
                  <c:v>10.583941599999999</c:v>
                </c:pt>
                <c:pt idx="2">
                  <c:v>6.2043796000000002</c:v>
                </c:pt>
                <c:pt idx="3">
                  <c:v>5.1094891000000002</c:v>
                </c:pt>
                <c:pt idx="4">
                  <c:v>3.649635</c:v>
                </c:pt>
                <c:pt idx="5">
                  <c:v>3.0413625</c:v>
                </c:pt>
                <c:pt idx="6">
                  <c:v>1.459854</c:v>
                </c:pt>
                <c:pt idx="7">
                  <c:v>1.459854</c:v>
                </c:pt>
                <c:pt idx="8">
                  <c:v>1.3381995</c:v>
                </c:pt>
                <c:pt idx="9">
                  <c:v>1.216545</c:v>
                </c:pt>
                <c:pt idx="10">
                  <c:v>1.0948905</c:v>
                </c:pt>
                <c:pt idx="11">
                  <c:v>1.0948905</c:v>
                </c:pt>
                <c:pt idx="12">
                  <c:v>0.97323599999999999</c:v>
                </c:pt>
                <c:pt idx="13">
                  <c:v>0.72992699999999999</c:v>
                </c:pt>
                <c:pt idx="14">
                  <c:v>0.48661799999999999</c:v>
                </c:pt>
                <c:pt idx="15">
                  <c:v>0.48661799999999999</c:v>
                </c:pt>
                <c:pt idx="16">
                  <c:v>0.3649635</c:v>
                </c:pt>
                <c:pt idx="17">
                  <c:v>0.3649635</c:v>
                </c:pt>
                <c:pt idx="18">
                  <c:v>0.3649635</c:v>
                </c:pt>
                <c:pt idx="19">
                  <c:v>0.243309</c:v>
                </c:pt>
                <c:pt idx="20">
                  <c:v>0.1216545</c:v>
                </c:pt>
                <c:pt idx="21">
                  <c:v>0.1216545</c:v>
                </c:pt>
                <c:pt idx="22">
                  <c:v>0.1216545</c:v>
                </c:pt>
                <c:pt idx="23">
                  <c:v>0.1216545</c:v>
                </c:pt>
                <c:pt idx="24">
                  <c:v>0.1216545</c:v>
                </c:pt>
                <c:pt idx="25">
                  <c:v>0.1216545</c:v>
                </c:pt>
                <c:pt idx="26">
                  <c:v>0.1216545</c:v>
                </c:pt>
              </c:numCache>
            </c:numRef>
          </c:val>
          <c:smooth val="0"/>
          <c:extLst>
            <c:ext xmlns:c16="http://schemas.microsoft.com/office/drawing/2014/chart" uri="{C3380CC4-5D6E-409C-BE32-E72D297353CC}">
              <c16:uniqueId val="{0000001B-2A39-4244-8E32-B809CA080D76}"/>
            </c:ext>
          </c:extLst>
        </c:ser>
        <c:dLbls>
          <c:showLegendKey val="0"/>
          <c:showVal val="1"/>
          <c:showCatName val="0"/>
          <c:showSerName val="0"/>
          <c:showPercent val="0"/>
          <c:showBubbleSize val="0"/>
        </c:dLbls>
        <c:marker val="1"/>
        <c:smooth val="0"/>
        <c:axId val="598557632"/>
        <c:axId val="598562880"/>
      </c:lineChart>
      <c:catAx>
        <c:axId val="598615360"/>
        <c:scaling>
          <c:orientation val="minMax"/>
        </c:scaling>
        <c:delete val="0"/>
        <c:axPos val="b"/>
        <c:title>
          <c:tx>
            <c:rich>
              <a:bodyPr rot="0" spcFirstLastPara="1" vertOverflow="ellipsis" vert="horz" wrap="square" anchor="ctr" anchorCtr="1"/>
              <a:lstStyle/>
              <a:p>
                <a:pPr>
                  <a:defRPr lang="zh-CN" sz="1000" b="0" i="0" u="none" strike="noStrike" kern="1200" baseline="0">
                    <a:ln>
                      <a:noFill/>
                    </a:ln>
                    <a:solidFill>
                      <a:schemeClr val="tx1"/>
                    </a:solidFill>
                    <a:latin typeface="+mn-lt"/>
                    <a:ea typeface="+mn-ea"/>
                    <a:cs typeface="+mn-cs"/>
                  </a:defRPr>
                </a:pPr>
                <a:r>
                  <a:rPr lang="zh-CN">
                    <a:solidFill>
                      <a:schemeClr val="tx1"/>
                    </a:solidFill>
                  </a:rPr>
                  <a:t>工艺类型</a:t>
                </a:r>
              </a:p>
            </c:rich>
          </c:tx>
          <c:layout>
            <c:manualLayout>
              <c:xMode val="edge"/>
              <c:yMode val="edge"/>
              <c:x val="0.43085284154206399"/>
              <c:y val="0.94223697219445601"/>
            </c:manualLayout>
          </c:layout>
          <c:overlay val="0"/>
          <c:spPr>
            <a:noFill/>
            <a:ln>
              <a:noFill/>
            </a:ln>
            <a:effectLst/>
          </c:spPr>
          <c:txPr>
            <a:bodyPr rot="0" spcFirstLastPara="1" vertOverflow="ellipsis" vert="horz" wrap="square" anchor="ctr" anchorCtr="1"/>
            <a:lstStyle/>
            <a:p>
              <a:pPr>
                <a:defRPr lang="zh-CN" sz="1000" b="0" i="0" u="none" strike="noStrike" kern="1200" baseline="0">
                  <a:ln>
                    <a:noFill/>
                  </a:ln>
                  <a:solidFill>
                    <a:schemeClr val="tx1"/>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ln>
                  <a:noFill/>
                </a:ln>
                <a:solidFill>
                  <a:schemeClr val="tx1"/>
                </a:solidFill>
                <a:latin typeface="+mn-lt"/>
                <a:ea typeface="+mn-ea"/>
                <a:cs typeface="+mn-cs"/>
              </a:defRPr>
            </a:pPr>
            <a:endParaRPr lang="zh-CN"/>
          </a:p>
        </c:txPr>
        <c:crossAx val="598615688"/>
        <c:crosses val="autoZero"/>
        <c:auto val="1"/>
        <c:lblAlgn val="ctr"/>
        <c:lblOffset val="100"/>
        <c:noMultiLvlLbl val="0"/>
      </c:catAx>
      <c:valAx>
        <c:axId val="598615688"/>
        <c:scaling>
          <c:orientation val="minMax"/>
        </c:scaling>
        <c:delete val="0"/>
        <c:axPos val="l"/>
        <c:title>
          <c:tx>
            <c:rich>
              <a:bodyPr rot="-5400000" spcFirstLastPara="1" vertOverflow="ellipsis" vert="horz" wrap="square" anchor="ctr" anchorCtr="1"/>
              <a:lstStyle/>
              <a:p>
                <a:pPr>
                  <a:defRPr lang="zh-CN" sz="1000" b="0" i="0" u="none" strike="noStrike" kern="1200" baseline="0">
                    <a:ln>
                      <a:noFill/>
                    </a:ln>
                    <a:solidFill>
                      <a:schemeClr val="tx1"/>
                    </a:solidFill>
                    <a:latin typeface="+mn-lt"/>
                    <a:ea typeface="+mn-ea"/>
                    <a:cs typeface="+mn-cs"/>
                  </a:defRPr>
                </a:pPr>
                <a:r>
                  <a:rPr lang="zh-CN">
                    <a:solidFill>
                      <a:schemeClr val="tx1"/>
                    </a:solidFill>
                  </a:rPr>
                  <a:t>城镇污水处理厂数量</a:t>
                </a:r>
                <a:r>
                  <a:rPr lang="zh-CN" altLang="en-US">
                    <a:solidFill>
                      <a:schemeClr val="tx1"/>
                    </a:solidFill>
                  </a:rPr>
                  <a:t>（座）</a:t>
                </a:r>
                <a:endParaRPr lang="zh-CN">
                  <a:solidFill>
                    <a:schemeClr val="tx1"/>
                  </a:solidFill>
                </a:endParaRPr>
              </a:p>
            </c:rich>
          </c:tx>
          <c:overlay val="0"/>
          <c:spPr>
            <a:noFill/>
            <a:ln>
              <a:noFill/>
            </a:ln>
            <a:effectLst/>
          </c:spPr>
          <c:txPr>
            <a:bodyPr rot="-5400000" spcFirstLastPara="1" vertOverflow="ellipsis" vert="horz" wrap="square" anchor="ctr" anchorCtr="1"/>
            <a:lstStyle/>
            <a:p>
              <a:pPr>
                <a:defRPr lang="zh-CN" sz="1000" b="0" i="0" u="none" strike="noStrike" kern="1200" baseline="0">
                  <a:ln>
                    <a:noFill/>
                  </a:ln>
                  <a:solidFill>
                    <a:schemeClr val="tx1"/>
                  </a:solidFill>
                  <a:latin typeface="+mn-lt"/>
                  <a:ea typeface="+mn-ea"/>
                  <a:cs typeface="+mn-cs"/>
                </a:defRPr>
              </a:pPr>
              <a:endParaRPr lang="zh-CN"/>
            </a:p>
          </c:txPr>
        </c:title>
        <c:numFmt formatCode="General" sourceLinked="1"/>
        <c:majorTickMark val="in"/>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900" b="0" i="0" u="none" strike="noStrike" kern="1200" baseline="0">
                <a:ln>
                  <a:noFill/>
                </a:ln>
                <a:solidFill>
                  <a:schemeClr val="tx1"/>
                </a:solidFill>
                <a:latin typeface="Times New Roman" panose="02020603050405020304" charset="0"/>
                <a:ea typeface="+mn-ea"/>
                <a:cs typeface="Times New Roman" panose="02020603050405020304" charset="0"/>
              </a:defRPr>
            </a:pPr>
            <a:endParaRPr lang="zh-CN"/>
          </a:p>
        </c:txPr>
        <c:crossAx val="598615360"/>
        <c:crosses val="autoZero"/>
        <c:crossBetween val="between"/>
      </c:valAx>
      <c:catAx>
        <c:axId val="598557632"/>
        <c:scaling>
          <c:orientation val="minMax"/>
        </c:scaling>
        <c:delete val="1"/>
        <c:axPos val="b"/>
        <c:numFmt formatCode="General" sourceLinked="1"/>
        <c:majorTickMark val="out"/>
        <c:minorTickMark val="none"/>
        <c:tickLblPos val="nextTo"/>
        <c:crossAx val="598562880"/>
        <c:crosses val="autoZero"/>
        <c:auto val="1"/>
        <c:lblAlgn val="ctr"/>
        <c:lblOffset val="100"/>
        <c:noMultiLvlLbl val="0"/>
      </c:catAx>
      <c:valAx>
        <c:axId val="598562880"/>
        <c:scaling>
          <c:orientation val="minMax"/>
        </c:scaling>
        <c:delete val="0"/>
        <c:axPos val="r"/>
        <c:title>
          <c:tx>
            <c:rich>
              <a:bodyPr rot="-5400000" spcFirstLastPara="1" vertOverflow="ellipsis" vert="horz" wrap="square" anchor="ctr" anchorCtr="1"/>
              <a:lstStyle/>
              <a:p>
                <a:pPr>
                  <a:defRPr lang="zh-CN" sz="1000" b="0" i="0" u="none" strike="noStrike" kern="1200" baseline="0">
                    <a:ln>
                      <a:noFill/>
                    </a:ln>
                    <a:solidFill>
                      <a:schemeClr val="tx1"/>
                    </a:solidFill>
                    <a:latin typeface="+mn-lt"/>
                    <a:ea typeface="+mn-ea"/>
                    <a:cs typeface="+mn-cs"/>
                  </a:defRPr>
                </a:pPr>
                <a:r>
                  <a:rPr lang="zh-CN"/>
                  <a:t>数量占比（</a:t>
                </a:r>
                <a:r>
                  <a:rPr lang="en-US"/>
                  <a:t>%</a:t>
                </a:r>
                <a:r>
                  <a:rPr lang="zh-CN"/>
                  <a:t>）</a:t>
                </a:r>
              </a:p>
            </c:rich>
          </c:tx>
          <c:overlay val="0"/>
          <c:spPr>
            <a:noFill/>
            <a:ln>
              <a:noFill/>
            </a:ln>
            <a:effectLst/>
          </c:spPr>
          <c:txPr>
            <a:bodyPr rot="-5400000" spcFirstLastPara="1" vertOverflow="ellipsis" vert="horz" wrap="square" anchor="ctr" anchorCtr="1"/>
            <a:lstStyle/>
            <a:p>
              <a:pPr>
                <a:defRPr lang="zh-CN" sz="1000" b="0" i="0" u="none" strike="noStrike" kern="1200" baseline="0">
                  <a:ln>
                    <a:noFill/>
                  </a:ln>
                  <a:solidFill>
                    <a:schemeClr val="tx1"/>
                  </a:solidFill>
                  <a:latin typeface="+mn-lt"/>
                  <a:ea typeface="+mn-ea"/>
                  <a:cs typeface="+mn-cs"/>
                </a:defRPr>
              </a:pPr>
              <a:endParaRPr lang="zh-CN"/>
            </a:p>
          </c:txPr>
        </c:title>
        <c:numFmt formatCode="0_ "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900" b="0" i="0" u="none" strike="noStrike" kern="1200" baseline="0">
                <a:ln>
                  <a:noFill/>
                </a:ln>
                <a:solidFill>
                  <a:srgbClr val="C00000"/>
                </a:solidFill>
                <a:latin typeface="Times New Roman" panose="02020603050405020304" charset="0"/>
                <a:ea typeface="+mn-ea"/>
                <a:cs typeface="Times New Roman" panose="02020603050405020304" charset="0"/>
              </a:defRPr>
            </a:pPr>
            <a:endParaRPr lang="zh-CN"/>
          </a:p>
        </c:txPr>
        <c:crossAx val="598557632"/>
        <c:crosses val="max"/>
        <c:crossBetween val="between"/>
      </c:valAx>
      <c:spPr>
        <a:noFill/>
        <a:ln>
          <a:noFill/>
        </a:ln>
        <a:effectLst/>
      </c:spPr>
    </c:plotArea>
    <c:legend>
      <c:legendPos val="b"/>
      <c:layout>
        <c:manualLayout>
          <c:xMode val="edge"/>
          <c:yMode val="edge"/>
          <c:x val="0.53994225216554403"/>
          <c:y val="0.117858865290838"/>
          <c:w val="0.24143712574850301"/>
          <c:h val="5.8371214494072003E-2"/>
        </c:manualLayout>
      </c:layout>
      <c:overlay val="0"/>
      <c:spPr>
        <a:noFill/>
        <a:ln>
          <a:noFill/>
        </a:ln>
        <a:effectLst/>
      </c:spPr>
      <c:txPr>
        <a:bodyPr rot="0" spcFirstLastPara="1" vertOverflow="ellipsis" vert="horz" wrap="square" anchor="ctr" anchorCtr="1"/>
        <a:lstStyle/>
        <a:p>
          <a:pPr>
            <a:defRPr lang="zh-CN" sz="900" b="0" i="0" u="none" strike="noStrike" kern="1200" baseline="0">
              <a:ln>
                <a:noFill/>
              </a:ln>
              <a:solidFill>
                <a:schemeClr val="tx1"/>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ln>
            <a:noFill/>
          </a:ln>
          <a:solidFill>
            <a:schemeClr val="tx1"/>
          </a:solidFill>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A3F51-E973-4855-AD2B-9D330F92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3350</Words>
  <Characters>19100</Characters>
  <Application>Microsoft Office Word</Application>
  <DocSecurity>0</DocSecurity>
  <Lines>159</Lines>
  <Paragraphs>44</Paragraphs>
  <ScaleCrop>false</ScaleCrop>
  <Company>MS</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LGF</cp:lastModifiedBy>
  <cp:revision>20</cp:revision>
  <cp:lastPrinted>2020-03-27T09:03:00Z</cp:lastPrinted>
  <dcterms:created xsi:type="dcterms:W3CDTF">2021-11-16T07:22:00Z</dcterms:created>
  <dcterms:modified xsi:type="dcterms:W3CDTF">2021-12-01T00:48:00Z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1826647CACCF498B9ACFE2FD27CF2B4B</vt:lpwstr>
  </property>
</Properties>
</file>